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2963" w14:textId="5C348552" w:rsidR="009E7EF6" w:rsidRPr="00C450D1" w:rsidRDefault="009E7EF6" w:rsidP="009E7EF6">
      <w:pPr>
        <w:pStyle w:val="Heading1"/>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11B0F979" w14:textId="0BC1B460" w:rsidR="003C727F" w:rsidRDefault="00041762" w:rsidP="004E0CA0">
      <w:r w:rsidRPr="00041762">
        <w:t xml:space="preserve">November 2024 saw markets ramp up after the US federal elections. </w:t>
      </w:r>
      <w:r>
        <w:t>I</w:t>
      </w:r>
      <w:r w:rsidRPr="00041762">
        <w:t xml:space="preserve">nvestors were pleased with the </w:t>
      </w:r>
      <w:r w:rsidR="00531BEC">
        <w:t xml:space="preserve">US </w:t>
      </w:r>
      <w:r w:rsidRPr="00041762">
        <w:t xml:space="preserve">election results and added further risk-on trades. Most are still of the opinion that interest rates and inflation are heading lower over the medium to long term, which was backed up by the US Federal Reserve Bank (the Fed) decision to ease the target cash rate by 0.25% to </w:t>
      </w:r>
      <w:r w:rsidRPr="00041762">
        <w:rPr>
          <w:b/>
          <w:bCs/>
        </w:rPr>
        <w:t>4.50%-4.75%</w:t>
      </w:r>
      <w:r w:rsidRPr="00041762">
        <w:t xml:space="preserve"> at its meeting held on the 6th of November 2024.</w:t>
      </w:r>
    </w:p>
    <w:p w14:paraId="1F137E2B" w14:textId="57FF8C4F" w:rsidR="00F40119" w:rsidRDefault="003C727F" w:rsidP="00F40119">
      <w:r>
        <w:t xml:space="preserve">This decision was </w:t>
      </w:r>
      <w:r w:rsidR="001C4744">
        <w:t>in line with</w:t>
      </w:r>
      <w:r>
        <w:t xml:space="preserve"> most </w:t>
      </w:r>
      <w:r w:rsidR="001C4744">
        <w:t>economists’</w:t>
      </w:r>
      <w:r>
        <w:t xml:space="preserve"> expect</w:t>
      </w:r>
      <w:r w:rsidR="001C4744">
        <w:t>ations following the previous 0.50% move back in September 2024. T</w:t>
      </w:r>
      <w:r>
        <w:t xml:space="preserve">he FOMC </w:t>
      </w:r>
      <w:r w:rsidR="001C4744">
        <w:t>press release mentioned that</w:t>
      </w:r>
      <w:r w:rsidR="00A649C7">
        <w:t>:</w:t>
      </w:r>
    </w:p>
    <w:p w14:paraId="1AD12363" w14:textId="4FB67A8B" w:rsidR="00FF15E7" w:rsidRPr="00F40119" w:rsidRDefault="00F40119" w:rsidP="00F40119">
      <w:pPr>
        <w:ind w:left="720"/>
      </w:pPr>
      <w:r w:rsidRPr="00F40119">
        <w:rPr>
          <w:i/>
          <w:iCs/>
        </w:rPr>
        <w:t>”Economic</w:t>
      </w:r>
      <w:r w:rsidR="001C4744" w:rsidRPr="00F40119">
        <w:rPr>
          <w:i/>
          <w:iCs/>
        </w:rPr>
        <w:t xml:space="preserve"> activity has continued to expand at a solid pace. Since earlier in the year, labor market conditions have generally eased, and the unemployment rate has moved up but remains low. Inflation has made progress toward the Committee’s 2 percent objective but remains somewhat elevated”</w:t>
      </w:r>
      <w:r w:rsidR="00A649C7" w:rsidRPr="00F40119">
        <w:rPr>
          <w:i/>
          <w:iCs/>
        </w:rPr>
        <w:t>.</w:t>
      </w:r>
      <w:r w:rsidR="00A649C7">
        <w:t xml:space="preserve"> </w:t>
      </w:r>
      <w:r w:rsidR="00FF15E7" w:rsidRPr="00246A5B">
        <w:rPr>
          <w:b/>
          <w:bCs/>
          <w:i/>
          <w:iCs/>
        </w:rPr>
        <w:t>Source:</w:t>
      </w:r>
      <w:r w:rsidR="00FF15E7" w:rsidRPr="00246A5B">
        <w:rPr>
          <w:i/>
          <w:iCs/>
        </w:rPr>
        <w:t xml:space="preserve"> FOMC policy statement, The Federal Reserve Bank.</w:t>
      </w:r>
    </w:p>
    <w:p w14:paraId="22CB6B63" w14:textId="7370D578" w:rsidR="00F40119" w:rsidRDefault="00F40119" w:rsidP="00F40119">
      <w:pPr>
        <w:spacing w:before="0" w:after="0"/>
        <w:rPr>
          <w:color w:val="auto"/>
        </w:rPr>
      </w:pPr>
      <w:r w:rsidRPr="00F40119">
        <w:rPr>
          <w:color w:val="auto"/>
        </w:rPr>
        <w:t>As part of its policy decision, the Federal Open Market Committee voted to direct the Open</w:t>
      </w:r>
      <w:r w:rsidR="00A649C7">
        <w:rPr>
          <w:color w:val="auto"/>
        </w:rPr>
        <w:t xml:space="preserve"> </w:t>
      </w:r>
      <w:r w:rsidRPr="00F40119">
        <w:rPr>
          <w:color w:val="auto"/>
        </w:rPr>
        <w:t>Market Desk at the Federal Reserve Bank of New York, until instructed otherwise, to</w:t>
      </w:r>
      <w:r w:rsidR="00A649C7">
        <w:rPr>
          <w:color w:val="auto"/>
        </w:rPr>
        <w:t xml:space="preserve"> </w:t>
      </w:r>
      <w:r w:rsidRPr="00F40119">
        <w:rPr>
          <w:color w:val="auto"/>
        </w:rPr>
        <w:t>execute transactions in the System Open Market Account in accordance with the following</w:t>
      </w:r>
      <w:r w:rsidR="00A649C7">
        <w:rPr>
          <w:color w:val="auto"/>
        </w:rPr>
        <w:t xml:space="preserve"> </w:t>
      </w:r>
      <w:r w:rsidRPr="00F40119">
        <w:rPr>
          <w:color w:val="auto"/>
        </w:rPr>
        <w:t>domestic policy directive:</w:t>
      </w:r>
    </w:p>
    <w:p w14:paraId="41171A7C" w14:textId="4DE54C61" w:rsidR="00F40119" w:rsidRPr="00A649C7" w:rsidRDefault="00F40119" w:rsidP="00B54AF1">
      <w:pPr>
        <w:pStyle w:val="ListParagraph"/>
        <w:numPr>
          <w:ilvl w:val="0"/>
          <w:numId w:val="9"/>
        </w:numPr>
        <w:spacing w:before="0" w:after="0"/>
        <w:rPr>
          <w:color w:val="auto"/>
        </w:rPr>
      </w:pPr>
      <w:r w:rsidRPr="00A649C7">
        <w:rPr>
          <w:color w:val="auto"/>
        </w:rPr>
        <w:t>Conduct standing overnight repurchase agreement operations with a minimum bid</w:t>
      </w:r>
      <w:r w:rsidR="00A649C7" w:rsidRPr="00A649C7">
        <w:rPr>
          <w:color w:val="auto"/>
        </w:rPr>
        <w:t xml:space="preserve"> </w:t>
      </w:r>
      <w:r w:rsidRPr="00A649C7">
        <w:rPr>
          <w:color w:val="auto"/>
        </w:rPr>
        <w:t>rate of 4.75 percent and with an aggregate operation limit of $500 billion.</w:t>
      </w:r>
    </w:p>
    <w:p w14:paraId="659C8C2C" w14:textId="38A40DCC" w:rsidR="00F40119" w:rsidRPr="00A649C7" w:rsidRDefault="00F40119" w:rsidP="008511C0">
      <w:pPr>
        <w:pStyle w:val="ListParagraph"/>
        <w:numPr>
          <w:ilvl w:val="0"/>
          <w:numId w:val="9"/>
        </w:numPr>
        <w:spacing w:before="0" w:after="0"/>
        <w:rPr>
          <w:color w:val="auto"/>
        </w:rPr>
      </w:pPr>
      <w:r w:rsidRPr="00A649C7">
        <w:rPr>
          <w:color w:val="auto"/>
        </w:rPr>
        <w:t>Conduct standing overnight reverse repurchase agreement operations at an</w:t>
      </w:r>
      <w:r w:rsidR="00A649C7" w:rsidRPr="00A649C7">
        <w:rPr>
          <w:color w:val="auto"/>
        </w:rPr>
        <w:t xml:space="preserve"> </w:t>
      </w:r>
      <w:r w:rsidRPr="00A649C7">
        <w:rPr>
          <w:color w:val="auto"/>
        </w:rPr>
        <w:t>offering rate of 4.55 percent and with a per-counterparty limit of $160 billion per</w:t>
      </w:r>
      <w:r w:rsidR="00A649C7" w:rsidRPr="00A649C7">
        <w:rPr>
          <w:color w:val="auto"/>
        </w:rPr>
        <w:t xml:space="preserve"> </w:t>
      </w:r>
      <w:r w:rsidRPr="00A649C7">
        <w:rPr>
          <w:color w:val="auto"/>
        </w:rPr>
        <w:t>day.</w:t>
      </w:r>
    </w:p>
    <w:p w14:paraId="20BE746B" w14:textId="4C1503C0" w:rsidR="00F40119" w:rsidRPr="00A649C7" w:rsidRDefault="00F40119" w:rsidP="00A35D8E">
      <w:pPr>
        <w:pStyle w:val="ListParagraph"/>
        <w:numPr>
          <w:ilvl w:val="0"/>
          <w:numId w:val="9"/>
        </w:numPr>
        <w:spacing w:before="0" w:after="0"/>
        <w:rPr>
          <w:color w:val="auto"/>
        </w:rPr>
      </w:pPr>
      <w:r w:rsidRPr="00A649C7">
        <w:rPr>
          <w:color w:val="auto"/>
        </w:rPr>
        <w:t xml:space="preserve">Roll over at auction the amount of principal payments from the Federal Reserve's holdings of Treasury securities maturing in each calendar month that exceeds </w:t>
      </w:r>
      <w:r w:rsidRPr="00A649C7">
        <w:rPr>
          <w:b/>
          <w:bCs/>
          <w:color w:val="auto"/>
        </w:rPr>
        <w:t xml:space="preserve">a cap of $25 </w:t>
      </w:r>
      <w:r w:rsidRPr="00A649C7">
        <w:rPr>
          <w:color w:val="auto"/>
        </w:rPr>
        <w:t>billion per month. Redeem Treasury coupon securities up to this monthly cap and Treasury bills to the extent that coupon principal payments are</w:t>
      </w:r>
      <w:r w:rsidR="00A649C7" w:rsidRPr="00A649C7">
        <w:rPr>
          <w:color w:val="auto"/>
        </w:rPr>
        <w:t xml:space="preserve"> </w:t>
      </w:r>
      <w:r w:rsidRPr="00A649C7">
        <w:rPr>
          <w:color w:val="auto"/>
        </w:rPr>
        <w:t>less than the monthly cap.</w:t>
      </w:r>
    </w:p>
    <w:p w14:paraId="27C934F8" w14:textId="19E1E64D" w:rsidR="00F40119" w:rsidRPr="00F40119" w:rsidRDefault="00F40119" w:rsidP="00F07DDB">
      <w:pPr>
        <w:pStyle w:val="ListParagraph"/>
        <w:numPr>
          <w:ilvl w:val="0"/>
          <w:numId w:val="9"/>
        </w:numPr>
        <w:spacing w:before="0" w:after="0"/>
        <w:rPr>
          <w:color w:val="auto"/>
        </w:rPr>
      </w:pPr>
      <w:r w:rsidRPr="00F40119">
        <w:rPr>
          <w:color w:val="auto"/>
        </w:rPr>
        <w:t xml:space="preserve">Reinvest the amount of principal payments from the Federal Reserve's holdings of agency debt and agency mortgage-backed securities (MBS) received in each calendar month that exceeds </w:t>
      </w:r>
      <w:r w:rsidRPr="00F40119">
        <w:rPr>
          <w:b/>
          <w:bCs/>
          <w:color w:val="auto"/>
        </w:rPr>
        <w:t>a cap of $35 billion per month</w:t>
      </w:r>
      <w:r w:rsidRPr="00F40119">
        <w:rPr>
          <w:color w:val="auto"/>
        </w:rPr>
        <w:t xml:space="preserve"> into Treasury securities to roughly match the </w:t>
      </w:r>
      <w:r>
        <w:rPr>
          <w:color w:val="auto"/>
        </w:rPr>
        <w:t xml:space="preserve"> </w:t>
      </w:r>
      <w:r w:rsidR="006167B3">
        <w:rPr>
          <w:color w:val="auto"/>
        </w:rPr>
        <w:t>m</w:t>
      </w:r>
      <w:r w:rsidRPr="00F40119">
        <w:rPr>
          <w:color w:val="auto"/>
        </w:rPr>
        <w:t>aturity composition of Treasury securities outstanding.</w:t>
      </w:r>
    </w:p>
    <w:p w14:paraId="64475292" w14:textId="19F24A51" w:rsidR="00FF15E7" w:rsidRDefault="00FF15E7" w:rsidP="00FF15E7">
      <w:pPr>
        <w:rPr>
          <w:b/>
          <w:bCs/>
        </w:rPr>
      </w:pPr>
      <w:r w:rsidRPr="008E5840">
        <w:rPr>
          <w:color w:val="auto"/>
        </w:rPr>
        <w:t xml:space="preserve">The latest US </w:t>
      </w:r>
      <w:r w:rsidR="00AC74AA" w:rsidRPr="008E5840">
        <w:rPr>
          <w:color w:val="auto"/>
        </w:rPr>
        <w:t xml:space="preserve">annual </w:t>
      </w:r>
      <w:r w:rsidRPr="008E5840">
        <w:rPr>
          <w:color w:val="auto"/>
        </w:rPr>
        <w:t xml:space="preserve">inflation data </w:t>
      </w:r>
      <w:r w:rsidR="006167B3">
        <w:rPr>
          <w:color w:val="auto"/>
        </w:rPr>
        <w:t xml:space="preserve">came in at </w:t>
      </w:r>
      <w:r w:rsidR="006167B3" w:rsidRPr="006167B3">
        <w:rPr>
          <w:b/>
          <w:bCs/>
          <w:color w:val="auto"/>
        </w:rPr>
        <w:t>2.</w:t>
      </w:r>
      <w:r w:rsidR="00041762">
        <w:rPr>
          <w:b/>
          <w:bCs/>
          <w:color w:val="auto"/>
        </w:rPr>
        <w:t>7</w:t>
      </w:r>
      <w:r w:rsidR="006167B3" w:rsidRPr="006167B3">
        <w:rPr>
          <w:b/>
          <w:bCs/>
          <w:color w:val="auto"/>
        </w:rPr>
        <w:t xml:space="preserve">% in </w:t>
      </w:r>
      <w:r w:rsidR="00041762">
        <w:rPr>
          <w:b/>
          <w:bCs/>
          <w:color w:val="auto"/>
        </w:rPr>
        <w:t>Novem</w:t>
      </w:r>
      <w:r w:rsidR="006167B3" w:rsidRPr="006167B3">
        <w:rPr>
          <w:b/>
          <w:bCs/>
          <w:color w:val="auto"/>
        </w:rPr>
        <w:t>ber</w:t>
      </w:r>
      <w:r w:rsidR="006167B3">
        <w:rPr>
          <w:color w:val="auto"/>
        </w:rPr>
        <w:t xml:space="preserve"> up from </w:t>
      </w:r>
      <w:bookmarkStart w:id="1" w:name="_Hlk169250034"/>
      <w:r w:rsidR="008E5840" w:rsidRPr="006167B3">
        <w:rPr>
          <w:color w:val="auto"/>
        </w:rPr>
        <w:t>2.</w:t>
      </w:r>
      <w:r w:rsidR="00041762">
        <w:rPr>
          <w:color w:val="auto"/>
        </w:rPr>
        <w:t>6</w:t>
      </w:r>
      <w:r w:rsidRPr="006167B3">
        <w:rPr>
          <w:color w:val="auto"/>
        </w:rPr>
        <w:t xml:space="preserve">% in </w:t>
      </w:r>
      <w:r w:rsidR="00041762">
        <w:rPr>
          <w:color w:val="auto"/>
        </w:rPr>
        <w:t>October</w:t>
      </w:r>
      <w:r w:rsidR="00041762" w:rsidRPr="006167B3">
        <w:rPr>
          <w:color w:val="auto"/>
        </w:rPr>
        <w:t xml:space="preserve"> </w:t>
      </w:r>
      <w:r w:rsidRPr="006167B3">
        <w:rPr>
          <w:color w:val="auto"/>
        </w:rPr>
        <w:t>2024</w:t>
      </w:r>
      <w:bookmarkEnd w:id="1"/>
      <w:r w:rsidR="00531BEC">
        <w:rPr>
          <w:color w:val="auto"/>
        </w:rPr>
        <w:t>.</w:t>
      </w:r>
      <w:r w:rsidR="00531BEC">
        <w:t xml:space="preserve"> </w:t>
      </w:r>
      <w:r>
        <w:t xml:space="preserve">Investors </w:t>
      </w:r>
      <w:r w:rsidR="00D1117C">
        <w:t xml:space="preserve">are now feeling more convinced that the </w:t>
      </w:r>
      <w:r w:rsidR="00D1117C" w:rsidRPr="00D1117C">
        <w:rPr>
          <w:b/>
          <w:bCs/>
        </w:rPr>
        <w:t xml:space="preserve">Fed will </w:t>
      </w:r>
      <w:r w:rsidR="00A352A1">
        <w:rPr>
          <w:b/>
          <w:bCs/>
        </w:rPr>
        <w:t xml:space="preserve">continue to </w:t>
      </w:r>
      <w:r w:rsidR="00D1117C" w:rsidRPr="00D1117C">
        <w:rPr>
          <w:b/>
          <w:bCs/>
        </w:rPr>
        <w:t xml:space="preserve">ease </w:t>
      </w:r>
      <w:r w:rsidR="00D1117C">
        <w:t>at the next Fed meeting following the inflation print.</w:t>
      </w:r>
      <w:r w:rsidR="00B3221F">
        <w:t xml:space="preserve"> Core inflation Y-O-Y </w:t>
      </w:r>
      <w:r w:rsidR="006167B3">
        <w:t xml:space="preserve">was unchanged at 3.30% for </w:t>
      </w:r>
      <w:r w:rsidR="00041762">
        <w:t>Novem</w:t>
      </w:r>
      <w:r w:rsidR="006167B3">
        <w:t>ber 2024</w:t>
      </w:r>
      <w:r w:rsidR="00B3221F">
        <w:t xml:space="preserve">. Core inflation excludes volatile items such as food and energy. </w:t>
      </w:r>
      <w:r w:rsidR="00FA37D3">
        <w:t xml:space="preserve">The next </w:t>
      </w:r>
      <w:r w:rsidR="00FA37D3" w:rsidRPr="00FA37D3">
        <w:rPr>
          <w:b/>
          <w:bCs/>
        </w:rPr>
        <w:t xml:space="preserve">FOMC meeting on Monetary Policy is the </w:t>
      </w:r>
      <w:r w:rsidR="00A649C7">
        <w:rPr>
          <w:b/>
          <w:bCs/>
        </w:rPr>
        <w:t>18</w:t>
      </w:r>
      <w:r w:rsidR="00A649C7" w:rsidRPr="00A649C7">
        <w:rPr>
          <w:b/>
          <w:bCs/>
          <w:vertAlign w:val="superscript"/>
        </w:rPr>
        <w:t>th of</w:t>
      </w:r>
      <w:r w:rsidR="00A649C7">
        <w:rPr>
          <w:b/>
          <w:bCs/>
        </w:rPr>
        <w:t xml:space="preserve"> December 2024 followed by </w:t>
      </w:r>
      <w:r w:rsidR="006167B3">
        <w:rPr>
          <w:b/>
          <w:bCs/>
        </w:rPr>
        <w:t>31/1</w:t>
      </w:r>
      <w:r w:rsidR="006167B3" w:rsidRPr="00FA37D3">
        <w:rPr>
          <w:b/>
          <w:bCs/>
          <w:vertAlign w:val="superscript"/>
        </w:rPr>
        <w:t>st</w:t>
      </w:r>
      <w:r w:rsidR="00FA37D3" w:rsidRPr="00FA37D3">
        <w:rPr>
          <w:b/>
          <w:bCs/>
        </w:rPr>
        <w:t xml:space="preserve"> of </w:t>
      </w:r>
      <w:r w:rsidR="006167B3">
        <w:rPr>
          <w:b/>
          <w:bCs/>
        </w:rPr>
        <w:t>January</w:t>
      </w:r>
      <w:r w:rsidR="00FA37D3" w:rsidRPr="00FA37D3">
        <w:rPr>
          <w:b/>
          <w:bCs/>
        </w:rPr>
        <w:t xml:space="preserve"> 202</w:t>
      </w:r>
      <w:r w:rsidR="006167B3">
        <w:rPr>
          <w:b/>
          <w:bCs/>
        </w:rPr>
        <w:t>5</w:t>
      </w:r>
      <w:r w:rsidR="00FA37D3" w:rsidRPr="00FA37D3">
        <w:rPr>
          <w:b/>
          <w:bCs/>
        </w:rPr>
        <w:t>.</w:t>
      </w:r>
    </w:p>
    <w:p w14:paraId="7FD31631" w14:textId="5B02E372" w:rsidR="00FA37D3" w:rsidRPr="00FA37D3" w:rsidRDefault="00FA37D3" w:rsidP="00FF15E7">
      <w:r w:rsidRPr="006167B3">
        <w:lastRenderedPageBreak/>
        <w:t>The US Federal Ele</w:t>
      </w:r>
      <w:r w:rsidR="006167B3" w:rsidRPr="006167B3">
        <w:t xml:space="preserve">ctions </w:t>
      </w:r>
      <w:r w:rsidRPr="006167B3">
        <w:t>held on the 5</w:t>
      </w:r>
      <w:r w:rsidRPr="006167B3">
        <w:rPr>
          <w:vertAlign w:val="superscript"/>
        </w:rPr>
        <w:t>th</w:t>
      </w:r>
      <w:r w:rsidRPr="006167B3">
        <w:t xml:space="preserve"> of November 2024 with</w:t>
      </w:r>
      <w:r>
        <w:t xml:space="preserve"> the </w:t>
      </w:r>
      <w:r w:rsidRPr="00EF1357">
        <w:rPr>
          <w:b/>
          <w:bCs/>
        </w:rPr>
        <w:t>Republican part</w:t>
      </w:r>
      <w:r w:rsidR="006167B3" w:rsidRPr="00EF1357">
        <w:rPr>
          <w:b/>
          <w:bCs/>
        </w:rPr>
        <w:t>y</w:t>
      </w:r>
      <w:r w:rsidR="00EF1357" w:rsidRPr="00EF1357">
        <w:rPr>
          <w:b/>
          <w:bCs/>
        </w:rPr>
        <w:t xml:space="preserve"> led by Donald Trump</w:t>
      </w:r>
      <w:r w:rsidR="00EF1357">
        <w:t xml:space="preserve"> winning 312 electoral college votes to the Democrats 226 votes with 97% of the votes counted.</w:t>
      </w:r>
      <w:r w:rsidR="00531BEC">
        <w:t xml:space="preserve"> The new President will be sworn into office in January 2025.</w:t>
      </w:r>
    </w:p>
    <w:p w14:paraId="383A9FAD" w14:textId="27F1A359" w:rsidR="00A352A1" w:rsidRPr="00E72E45" w:rsidRDefault="00EF1357" w:rsidP="00A352A1">
      <w:pPr>
        <w:rPr>
          <w:b/>
          <w:bCs/>
        </w:rPr>
      </w:pPr>
      <w:r>
        <w:t>For Australia, t</w:t>
      </w:r>
      <w:r w:rsidR="00A352A1">
        <w:t xml:space="preserve">he latest inflation prints for (year-on-year) second quarter of 2024 </w:t>
      </w:r>
      <w:r w:rsidR="00A352A1" w:rsidRPr="00024249">
        <w:rPr>
          <w:b/>
          <w:bCs/>
        </w:rPr>
        <w:t xml:space="preserve">was </w:t>
      </w:r>
      <w:r>
        <w:rPr>
          <w:b/>
          <w:bCs/>
        </w:rPr>
        <w:t>2</w:t>
      </w:r>
      <w:r w:rsidR="00A352A1" w:rsidRPr="00024249">
        <w:rPr>
          <w:b/>
          <w:bCs/>
        </w:rPr>
        <w:t>.8%</w:t>
      </w:r>
      <w:r w:rsidR="00A352A1">
        <w:t xml:space="preserve"> which was </w:t>
      </w:r>
      <w:r>
        <w:t>down</w:t>
      </w:r>
      <w:r w:rsidR="00A352A1">
        <w:t xml:space="preserve"> from the 3.</w:t>
      </w:r>
      <w:r>
        <w:t>8</w:t>
      </w:r>
      <w:r w:rsidR="00A352A1">
        <w:t xml:space="preserve">% in the </w:t>
      </w:r>
      <w:r>
        <w:t>second</w:t>
      </w:r>
      <w:r w:rsidR="00A352A1">
        <w:t xml:space="preserve"> quarter of 2024 but still elevated. This persistently high data reading on inflation forced the RBA to </w:t>
      </w:r>
      <w:r w:rsidR="00A352A1" w:rsidRPr="00EF169D">
        <w:rPr>
          <w:b/>
          <w:bCs/>
        </w:rPr>
        <w:t>hold the target cash rate at 4.35%</w:t>
      </w:r>
      <w:r w:rsidR="00A352A1">
        <w:t xml:space="preserve"> at this month’s board meeting </w:t>
      </w:r>
      <w:r w:rsidR="00041762">
        <w:t>on the 10</w:t>
      </w:r>
      <w:r w:rsidR="00041762" w:rsidRPr="00041762">
        <w:rPr>
          <w:vertAlign w:val="superscript"/>
        </w:rPr>
        <w:t>th of</w:t>
      </w:r>
      <w:r w:rsidR="00041762">
        <w:t xml:space="preserve"> </w:t>
      </w:r>
      <w:r w:rsidR="00E26031">
        <w:t>De</w:t>
      </w:r>
      <w:r w:rsidR="00041762">
        <w:t>cember</w:t>
      </w:r>
      <w:r w:rsidR="00A352A1" w:rsidRPr="00BC254C">
        <w:t xml:space="preserve"> 2024.</w:t>
      </w:r>
      <w:r w:rsidR="00A352A1">
        <w:t xml:space="preserve"> The </w:t>
      </w:r>
      <w:r w:rsidR="00A352A1" w:rsidRPr="00E72E45">
        <w:rPr>
          <w:b/>
          <w:bCs/>
        </w:rPr>
        <w:t xml:space="preserve">next RBA meeting is </w:t>
      </w:r>
      <w:r w:rsidR="00B8507E">
        <w:rPr>
          <w:b/>
          <w:bCs/>
        </w:rPr>
        <w:t>on the 17-18</w:t>
      </w:r>
      <w:r w:rsidR="00B8507E" w:rsidRPr="00B8507E">
        <w:rPr>
          <w:b/>
          <w:bCs/>
          <w:vertAlign w:val="superscript"/>
        </w:rPr>
        <w:t>th</w:t>
      </w:r>
      <w:r w:rsidR="00B8507E">
        <w:rPr>
          <w:b/>
          <w:bCs/>
        </w:rPr>
        <w:t xml:space="preserve"> </w:t>
      </w:r>
      <w:r w:rsidR="00041762">
        <w:rPr>
          <w:b/>
          <w:bCs/>
        </w:rPr>
        <w:t>February 2025</w:t>
      </w:r>
      <w:r w:rsidR="00E26031">
        <w:rPr>
          <w:b/>
          <w:bCs/>
        </w:rPr>
        <w:t>.</w:t>
      </w:r>
    </w:p>
    <w:p w14:paraId="13AD9698" w14:textId="2DEAB81F" w:rsidR="00A352A1" w:rsidRDefault="00FA37D3" w:rsidP="00A352A1">
      <w:pPr>
        <w:spacing w:before="120"/>
      </w:pPr>
      <w:r>
        <w:t>T</w:t>
      </w:r>
      <w:r w:rsidR="00A352A1">
        <w:t xml:space="preserve">he domestic house prices </w:t>
      </w:r>
      <w:r w:rsidR="00210AED">
        <w:t xml:space="preserve">are softening in </w:t>
      </w:r>
      <w:r w:rsidR="00A649C7">
        <w:t>several</w:t>
      </w:r>
      <w:r w:rsidR="00210AED">
        <w:t xml:space="preserve"> suburbs as </w:t>
      </w:r>
      <w:r w:rsidR="00A352A1">
        <w:t>interest rate</w:t>
      </w:r>
      <w:r w:rsidR="00210AED">
        <w:t xml:space="preserve">s remain on hold. </w:t>
      </w:r>
      <w:r w:rsidR="00A352A1">
        <w:t xml:space="preserve">This year </w:t>
      </w:r>
      <w:r w:rsidR="00210AED">
        <w:t xml:space="preserve">and 2025 </w:t>
      </w:r>
      <w:r w:rsidR="00A352A1">
        <w:t xml:space="preserve">will be challenging however, </w:t>
      </w:r>
      <w:r w:rsidR="00A352A1" w:rsidRPr="00EF169D">
        <w:rPr>
          <w:b/>
          <w:bCs/>
        </w:rPr>
        <w:t xml:space="preserve">the broader economy </w:t>
      </w:r>
      <w:r w:rsidR="00A649C7" w:rsidRPr="00EF169D">
        <w:rPr>
          <w:b/>
          <w:bCs/>
        </w:rPr>
        <w:t>is</w:t>
      </w:r>
      <w:r w:rsidR="00A352A1" w:rsidRPr="00EF169D">
        <w:rPr>
          <w:b/>
          <w:bCs/>
        </w:rPr>
        <w:t xml:space="preserve"> weathering the storm well </w:t>
      </w:r>
      <w:r w:rsidR="00A352A1">
        <w:t xml:space="preserve">given the mixed support from high immigration levels and the strong level of employment with unemployment </w:t>
      </w:r>
      <w:r w:rsidR="00363E96">
        <w:t xml:space="preserve">improving to 3.9% in November 2024 down from </w:t>
      </w:r>
      <w:r w:rsidR="00A352A1">
        <w:t>4.</w:t>
      </w:r>
      <w:r w:rsidR="00210AED">
        <w:t>1</w:t>
      </w:r>
      <w:r w:rsidR="00A352A1">
        <w:t xml:space="preserve">% in </w:t>
      </w:r>
      <w:r w:rsidR="00210AED">
        <w:t>October</w:t>
      </w:r>
      <w:r w:rsidR="00A352A1">
        <w:t xml:space="preserve"> 2024.</w:t>
      </w:r>
    </w:p>
    <w:p w14:paraId="6E761528" w14:textId="137CA640" w:rsidR="00A352A1" w:rsidRDefault="00A352A1" w:rsidP="00A352A1">
      <w:r>
        <w:t>From a risk return perspective, markets are improving:</w:t>
      </w:r>
    </w:p>
    <w:p w14:paraId="43E51706" w14:textId="5DE65AD0" w:rsidR="00375195" w:rsidRDefault="00363E96" w:rsidP="00A87065">
      <w:pPr>
        <w:jc w:val="center"/>
      </w:pPr>
      <w:r w:rsidRPr="00C052E7">
        <w:rPr>
          <w:rFonts w:ascii="Calibri" w:hAnsi="Calibri" w:cs="Calibri"/>
          <w:b/>
          <w:bCs/>
          <w:noProof/>
          <w:color w:val="222222"/>
          <w:sz w:val="18"/>
          <w:szCs w:val="18"/>
          <w:shd w:val="clear" w:color="auto" w:fill="FFFFFF"/>
        </w:rPr>
        <w:drawing>
          <wp:inline distT="0" distB="0" distL="0" distR="0" wp14:anchorId="6936C710" wp14:editId="3F0CC2F1">
            <wp:extent cx="5731510" cy="3995420"/>
            <wp:effectExtent l="0" t="0" r="2540" b="5080"/>
            <wp:docPr id="6488982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95420"/>
                    </a:xfrm>
                    <a:prstGeom prst="rect">
                      <a:avLst/>
                    </a:prstGeom>
                    <a:noFill/>
                    <a:ln>
                      <a:noFill/>
                    </a:ln>
                  </pic:spPr>
                </pic:pic>
              </a:graphicData>
            </a:graphic>
          </wp:inline>
        </w:drawing>
      </w:r>
    </w:p>
    <w:p w14:paraId="708850CE" w14:textId="082EBA68" w:rsidR="00D712E9" w:rsidRDefault="00D712E9" w:rsidP="00D712E9">
      <w:r w:rsidRPr="00D712E9">
        <w:rPr>
          <w:sz w:val="18"/>
        </w:rPr>
        <w:t xml:space="preserve"> </w:t>
      </w:r>
      <w:r w:rsidRPr="00A70A09">
        <w:rPr>
          <w:sz w:val="18"/>
        </w:rPr>
        <w:t xml:space="preserve">Source data: Lonsec as of </w:t>
      </w:r>
      <w:r w:rsidR="00D528C0">
        <w:rPr>
          <w:sz w:val="18"/>
        </w:rPr>
        <w:t>3</w:t>
      </w:r>
      <w:r w:rsidR="00363E96">
        <w:rPr>
          <w:sz w:val="18"/>
        </w:rPr>
        <w:t>0</w:t>
      </w:r>
      <w:r w:rsidR="00363E96" w:rsidRPr="00363E96">
        <w:rPr>
          <w:sz w:val="18"/>
          <w:vertAlign w:val="superscript"/>
        </w:rPr>
        <w:t>th</w:t>
      </w:r>
      <w:r w:rsidR="00363E96">
        <w:rPr>
          <w:sz w:val="18"/>
        </w:rPr>
        <w:t xml:space="preserve"> November</w:t>
      </w:r>
      <w:r w:rsidR="00B3221F">
        <w:rPr>
          <w:sz w:val="18"/>
        </w:rPr>
        <w:t xml:space="preserve"> </w:t>
      </w:r>
      <w:r>
        <w:rPr>
          <w:sz w:val="18"/>
        </w:rPr>
        <w:t>2024</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lastRenderedPageBreak/>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6664BFA6" w14:textId="584D4734" w:rsidR="008B2268" w:rsidRDefault="008B2268" w:rsidP="004E0CA0">
      <w:r>
        <w:t xml:space="preserve">The </w:t>
      </w:r>
      <w:r w:rsidR="009756E0">
        <w:t>issues at the forefront of investors thoughts included</w:t>
      </w:r>
      <w:r>
        <w:t>:</w:t>
      </w:r>
    </w:p>
    <w:p w14:paraId="34A13A22" w14:textId="3DDB0DB5" w:rsidR="00360014" w:rsidRDefault="00360014" w:rsidP="003C40F3">
      <w:pPr>
        <w:pStyle w:val="ListParagraph"/>
        <w:numPr>
          <w:ilvl w:val="0"/>
          <w:numId w:val="8"/>
        </w:numPr>
      </w:pPr>
      <w:r>
        <w:t xml:space="preserve">US Politics – </w:t>
      </w:r>
      <w:r w:rsidR="00FE30E8">
        <w:t xml:space="preserve">the Republican </w:t>
      </w:r>
      <w:r w:rsidR="00210AED">
        <w:t xml:space="preserve">Party, led by </w:t>
      </w:r>
      <w:r w:rsidR="00FE30E8" w:rsidRPr="00FE30E8">
        <w:rPr>
          <w:b/>
          <w:bCs/>
        </w:rPr>
        <w:t>Donald Trump</w:t>
      </w:r>
      <w:r w:rsidR="00FE30E8">
        <w:t xml:space="preserve"> </w:t>
      </w:r>
      <w:r w:rsidR="00A649C7">
        <w:t xml:space="preserve">is </w:t>
      </w:r>
      <w:r w:rsidR="00FE30E8">
        <w:t xml:space="preserve">now </w:t>
      </w:r>
      <w:r w:rsidR="00210AED">
        <w:t xml:space="preserve">America’s president-elect. </w:t>
      </w:r>
      <w:r w:rsidR="00843E57">
        <w:t>We can now watch to see how this will impact Australia in terms of trade tariffs.</w:t>
      </w:r>
    </w:p>
    <w:p w14:paraId="568D4ABF" w14:textId="7AAD2CFC" w:rsidR="008C3AF3" w:rsidRDefault="008C3AF3" w:rsidP="003C40F3">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w:t>
      </w:r>
      <w:r w:rsidR="00BC254C">
        <w:t>a</w:t>
      </w:r>
      <w:r w:rsidR="00802E86">
        <w:t>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04967490" w:rsidR="002A71FA" w:rsidRDefault="00601243" w:rsidP="003C40F3">
      <w:pPr>
        <w:pStyle w:val="ListParagraph"/>
        <w:numPr>
          <w:ilvl w:val="0"/>
          <w:numId w:val="8"/>
        </w:numPr>
      </w:pPr>
      <w:r>
        <w:t xml:space="preserve">Global growth </w:t>
      </w:r>
      <w:r w:rsidR="003E5CBD">
        <w:t xml:space="preserve">and Commodity Prices </w:t>
      </w:r>
      <w:r>
        <w:t xml:space="preserve">– </w:t>
      </w:r>
      <w:r w:rsidR="001415A2">
        <w:t>for our region</w:t>
      </w:r>
      <w:r w:rsidR="00D357C4">
        <w:t>,</w:t>
      </w:r>
      <w:r w:rsidR="001415A2">
        <w:t xml:space="preserve"> </w:t>
      </w:r>
      <w:r>
        <w:t xml:space="preserve">China is the focus with </w:t>
      </w:r>
      <w:r w:rsidR="001921CE">
        <w:t xml:space="preserve">growth prospects the central theme. GDP is resilient around the </w:t>
      </w:r>
      <w:r w:rsidR="00382C31">
        <w:t>4.</w:t>
      </w:r>
      <w:r w:rsidR="00843E57">
        <w:t>6</w:t>
      </w:r>
      <w:r w:rsidR="001921CE">
        <w:t>% level despite the property market concerns.</w:t>
      </w:r>
      <w:r>
        <w:t xml:space="preserve"> The </w:t>
      </w:r>
      <w:r w:rsidR="001921CE">
        <w:t xml:space="preserve">benefits of rekindling growth include productivity gains from which </w:t>
      </w:r>
      <w:r>
        <w:t xml:space="preserve">Australia will </w:t>
      </w:r>
      <w:r w:rsidR="001921CE">
        <w:t xml:space="preserve">also </w:t>
      </w:r>
      <w:r w:rsidR="001B08D3">
        <w:t>be</w:t>
      </w:r>
      <w:r w:rsidR="00764C50">
        <w:t>nefit</w:t>
      </w:r>
      <w:r>
        <w:t xml:space="preserve"> given, they are our biggest trading partner.</w:t>
      </w:r>
      <w:r w:rsidR="003E5CBD">
        <w:t xml:space="preserve"> The problem is the </w:t>
      </w:r>
      <w:r w:rsidR="003E5CBD" w:rsidRPr="003E5CBD">
        <w:rPr>
          <w:b/>
          <w:bCs/>
        </w:rPr>
        <w:t xml:space="preserve">falling </w:t>
      </w:r>
      <w:r w:rsidR="00843E57">
        <w:rPr>
          <w:b/>
          <w:bCs/>
        </w:rPr>
        <w:t xml:space="preserve">global </w:t>
      </w:r>
      <w:r w:rsidR="003E5CBD" w:rsidRPr="003E5CBD">
        <w:rPr>
          <w:b/>
          <w:bCs/>
        </w:rPr>
        <w:t>growth prospects has impacted the demand prices of oil, iron ore</w:t>
      </w:r>
      <w:r w:rsidR="003E5CBD">
        <w:t xml:space="preserve"> and other resources, except Gold which remains well supported.</w:t>
      </w:r>
    </w:p>
    <w:p w14:paraId="0D3E5B51" w14:textId="7D187D07" w:rsidR="00BC11B5" w:rsidRDefault="00BC11B5" w:rsidP="003C40F3">
      <w:pPr>
        <w:pStyle w:val="ListParagraph"/>
        <w:numPr>
          <w:ilvl w:val="0"/>
          <w:numId w:val="8"/>
        </w:numPr>
      </w:pPr>
      <w:r>
        <w:t>Inflation</w:t>
      </w:r>
      <w:r w:rsidR="00FE30E8">
        <w:t xml:space="preserve"> numbers </w:t>
      </w:r>
      <w:r w:rsidR="00EB0473">
        <w:t xml:space="preserve">are </w:t>
      </w:r>
      <w:r w:rsidR="00FE30E8">
        <w:t xml:space="preserve">indicating a </w:t>
      </w:r>
      <w:r w:rsidR="003627B9">
        <w:t xml:space="preserve"> </w:t>
      </w:r>
      <w:r w:rsidR="003627B9" w:rsidRPr="003E5CBD">
        <w:rPr>
          <w:b/>
          <w:bCs/>
        </w:rPr>
        <w:t xml:space="preserve">slight easing bias </w:t>
      </w:r>
      <w:r w:rsidR="00843E57">
        <w:rPr>
          <w:b/>
          <w:bCs/>
        </w:rPr>
        <w:t xml:space="preserve">Y-O-Y </w:t>
      </w:r>
      <w:r w:rsidR="00EB0473" w:rsidRPr="003E5CBD">
        <w:rPr>
          <w:b/>
          <w:bCs/>
        </w:rPr>
        <w:t xml:space="preserve">which </w:t>
      </w:r>
      <w:r w:rsidR="003627B9" w:rsidRPr="003E5CBD">
        <w:rPr>
          <w:b/>
          <w:bCs/>
        </w:rPr>
        <w:t>is aiding optimism</w:t>
      </w:r>
      <w:r w:rsidR="00B115AE">
        <w:t>,</w:t>
      </w:r>
      <w:r w:rsidR="00397D87">
        <w:t xml:space="preserve"> </w:t>
      </w:r>
      <w:r w:rsidR="00EB0473">
        <w:t xml:space="preserve">as the numbers are starting to hit within the </w:t>
      </w:r>
      <w:r w:rsidR="00601243">
        <w:t>target ranges of Central banks</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5A5EF579" w:rsidR="00BC11B5" w:rsidRDefault="00BC11B5" w:rsidP="003C40F3">
      <w:pPr>
        <w:pStyle w:val="ListParagraph"/>
        <w:numPr>
          <w:ilvl w:val="0"/>
          <w:numId w:val="8"/>
        </w:numPr>
      </w:pPr>
      <w:r>
        <w:t xml:space="preserve">Bond </w:t>
      </w:r>
      <w:r w:rsidR="00E247C3">
        <w:t xml:space="preserve">markets </w:t>
      </w:r>
      <w:r w:rsidR="00363E96">
        <w:t xml:space="preserve">are </w:t>
      </w:r>
      <w:r w:rsidR="00363E96" w:rsidRPr="000A1A15">
        <w:rPr>
          <w:b/>
          <w:bCs/>
        </w:rPr>
        <w:t>unsettled</w:t>
      </w:r>
      <w:r w:rsidR="00363E96">
        <w:t xml:space="preserve"> </w:t>
      </w:r>
      <w:r w:rsidR="00843E57">
        <w:t xml:space="preserve">post the </w:t>
      </w:r>
      <w:r w:rsidR="00363E96">
        <w:t>Central Bank easing</w:t>
      </w:r>
      <w:r w:rsidR="00843E57">
        <w:t xml:space="preserve">. </w:t>
      </w:r>
      <w:r w:rsidR="00363E96">
        <w:t>The direction is still lower longer term but short term, volatility remains.</w:t>
      </w:r>
    </w:p>
    <w:p w14:paraId="07A4B833" w14:textId="68C49FAB" w:rsidR="008B2268" w:rsidRDefault="002C6C3E" w:rsidP="003C40F3">
      <w:pPr>
        <w:pStyle w:val="ListParagraph"/>
        <w:numPr>
          <w:ilvl w:val="0"/>
          <w:numId w:val="8"/>
        </w:numPr>
      </w:pPr>
      <w:r>
        <w:t>M</w:t>
      </w:r>
      <w:r w:rsidR="00894F9E">
        <w:t>arket</w:t>
      </w:r>
      <w:r w:rsidR="001415A2">
        <w:t xml:space="preserve"> valuations are </w:t>
      </w:r>
      <w:r w:rsidR="001921CE">
        <w:t xml:space="preserve">still </w:t>
      </w:r>
      <w:r w:rsidR="001415A2">
        <w:t>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w:t>
      </w:r>
      <w:r w:rsidR="00484BBB">
        <w:rPr>
          <w:b/>
          <w:bCs/>
        </w:rPr>
        <w:t xml:space="preserve">s </w:t>
      </w:r>
      <w:r w:rsidR="00E7618A">
        <w:rPr>
          <w:b/>
          <w:bCs/>
        </w:rPr>
        <w:t>optimism</w:t>
      </w:r>
      <w:r w:rsidR="000218F1">
        <w:t>, navigate this period of uncertainty,</w:t>
      </w:r>
      <w:r w:rsidR="00B13339">
        <w:t xml:space="preserve"> and expect better conditions to prevail in </w:t>
      </w:r>
      <w:r w:rsidR="005D4428">
        <w:t>202</w:t>
      </w:r>
      <w:r w:rsidR="00E247C3">
        <w:t>5</w:t>
      </w:r>
      <w:r w:rsidR="005D4428">
        <w:t>.</w:t>
      </w:r>
      <w:r w:rsidR="00A00F13">
        <w:t xml:space="preserve"> </w:t>
      </w:r>
    </w:p>
    <w:p w14:paraId="734BC06E" w14:textId="5A009931" w:rsidR="00300938" w:rsidRDefault="00784798" w:rsidP="00F22A38">
      <w:r>
        <w:t xml:space="preserve">Despite the </w:t>
      </w:r>
      <w:r w:rsidR="00E247C3">
        <w:t>geo</w:t>
      </w:r>
      <w:r>
        <w:t>political conflict</w:t>
      </w:r>
      <w:r w:rsidR="002C6C3E">
        <w:t xml:space="preserve">, the investment markets are looking </w:t>
      </w:r>
      <w:r w:rsidR="00024249">
        <w:t>solid underpinned by c</w:t>
      </w:r>
      <w:r w:rsidR="002C6C3E">
        <w:t>ompany</w:t>
      </w:r>
      <w:r>
        <w:t xml:space="preserve"> </w:t>
      </w:r>
      <w:r w:rsidR="00E247C3">
        <w:t xml:space="preserve">profits </w:t>
      </w:r>
      <w:r w:rsidR="00024249">
        <w:t xml:space="preserve">and </w:t>
      </w:r>
      <w:r w:rsidR="00E247C3">
        <w:t xml:space="preserve">the expected </w:t>
      </w:r>
      <w:r w:rsidR="00E247C3" w:rsidRPr="00E247C3">
        <w:rPr>
          <w:b/>
          <w:bCs/>
        </w:rPr>
        <w:t>gradual easing interest rates</w:t>
      </w:r>
      <w:r w:rsidR="00E247C3">
        <w:t xml:space="preserve">. </w:t>
      </w:r>
    </w:p>
    <w:p w14:paraId="0FBDDE4B" w14:textId="120D0673" w:rsidR="0046215F" w:rsidRDefault="005C4645" w:rsidP="004E0CA0">
      <w:r>
        <w:t xml:space="preserve">Investors </w:t>
      </w:r>
      <w:r w:rsidR="00802B47">
        <w:t xml:space="preserve">have </w:t>
      </w:r>
      <w:r w:rsidR="00C34A21">
        <w:t xml:space="preserve">maintained their </w:t>
      </w:r>
      <w:r w:rsidR="00802B47">
        <w:t xml:space="preserve">risk appetite </w:t>
      </w:r>
      <w:r w:rsidR="00C34A21">
        <w:t>at</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C103CF">
        <w:t xml:space="preserve">short </w:t>
      </w:r>
      <w:r w:rsidR="006A01FF">
        <w:t>term and</w:t>
      </w:r>
      <w:r w:rsidR="00C103CF">
        <w:t xml:space="preserve"> </w:t>
      </w:r>
      <w:r w:rsidR="00396B3C">
        <w:t xml:space="preserve">remain </w:t>
      </w:r>
      <w:r w:rsidR="00784798" w:rsidRPr="00784798">
        <w:rPr>
          <w:b/>
          <w:bCs/>
        </w:rPr>
        <w:t>“optimistic”</w:t>
      </w:r>
      <w:r w:rsidR="00784798">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an economic slowdown </w:t>
      </w:r>
      <w:r w:rsidR="005F21FA">
        <w:t xml:space="preserve"> at some future point</w:t>
      </w:r>
      <w:r w:rsidR="00634FDD">
        <w:t xml:space="preserve"> but the </w:t>
      </w:r>
      <w:r w:rsidR="008970F9">
        <w:t>severity is now seen as limited</w:t>
      </w:r>
      <w:r w:rsidR="00B26539">
        <w:t>.</w:t>
      </w:r>
      <w:r>
        <w:t xml:space="preserve"> </w:t>
      </w:r>
      <w:r w:rsidR="006A01FF">
        <w:t xml:space="preserve">We are looking for a </w:t>
      </w:r>
      <w:r w:rsidR="006A01FF" w:rsidRPr="006A01FF">
        <w:rPr>
          <w:b/>
          <w:bCs/>
        </w:rPr>
        <w:t>soft landing</w:t>
      </w:r>
      <w:r w:rsidR="006A01FF">
        <w:t xml:space="preserve"> for Australia.</w:t>
      </w:r>
    </w:p>
    <w:p w14:paraId="2641A6CA" w14:textId="77777777" w:rsidR="00843E57"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p>
    <w:p w14:paraId="247AB076" w14:textId="0DBCFCF9" w:rsidR="00E76659" w:rsidRDefault="00411B92" w:rsidP="004E0CA0">
      <w:r>
        <w:lastRenderedPageBreak/>
        <w:t>New measures announced by the Peoples Bank of China (PBoC) targeting market liquidity (</w:t>
      </w:r>
      <w:r w:rsidR="00FC5B23">
        <w:t>seven-day</w:t>
      </w:r>
      <w:r>
        <w:t xml:space="preserve"> reverse repo rate eased by 0.20% to 1.5%) and helping existing domestic lending to mortgages by cutting mortgage rates by 0.50%. Share markets also get help via two swap </w:t>
      </w:r>
      <w:r w:rsidR="00665AF3">
        <w:t>facilities</w:t>
      </w:r>
      <w:r>
        <w:t xml:space="preserve">: </w:t>
      </w:r>
      <w:r w:rsidR="00665AF3">
        <w:t>Non-bank financial institutions swapping assets for cash to buy equities and funds to allow commercial banks to lend to listed companies.</w:t>
      </w:r>
    </w:p>
    <w:p w14:paraId="0E2E95FA" w14:textId="70489DC4"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2378C4">
        <w:rPr>
          <w:b/>
          <w:bCs/>
        </w:rPr>
        <w:t>0</w:t>
      </w:r>
      <w:r w:rsidR="002378C4" w:rsidRPr="002378C4">
        <w:rPr>
          <w:b/>
          <w:bCs/>
          <w:vertAlign w:val="superscript"/>
        </w:rPr>
        <w:t>th</w:t>
      </w:r>
      <w:r w:rsidR="002378C4">
        <w:rPr>
          <w:b/>
          <w:bCs/>
        </w:rPr>
        <w:t xml:space="preserve"> November</w:t>
      </w:r>
      <w:r w:rsidRPr="004B4415">
        <w:rPr>
          <w:b/>
          <w:bCs/>
        </w:rPr>
        <w:t xml:space="preserve"> 202</w:t>
      </w:r>
      <w:r w:rsidR="00190B5B">
        <w:rPr>
          <w:b/>
          <w:bCs/>
        </w:rPr>
        <w:t>4</w:t>
      </w:r>
      <w:r w:rsidRPr="004B4415">
        <w:rPr>
          <w:b/>
          <w:bCs/>
        </w:rPr>
        <w:t>:</w:t>
      </w:r>
    </w:p>
    <w:p w14:paraId="13295CC7" w14:textId="7D9D268A" w:rsidR="004104F2" w:rsidRDefault="00B51EA3" w:rsidP="00B53288">
      <w:r w:rsidRPr="00B51EA3">
        <w:rPr>
          <w:noProof/>
        </w:rPr>
        <w:drawing>
          <wp:inline distT="0" distB="0" distL="0" distR="0" wp14:anchorId="0A3325B6" wp14:editId="28451757">
            <wp:extent cx="5413375" cy="1408430"/>
            <wp:effectExtent l="0" t="0" r="0" b="1270"/>
            <wp:docPr id="1287015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3375" cy="1408430"/>
                    </a:xfrm>
                    <a:prstGeom prst="rect">
                      <a:avLst/>
                    </a:prstGeom>
                    <a:noFill/>
                    <a:ln>
                      <a:noFill/>
                    </a:ln>
                  </pic:spPr>
                </pic:pic>
              </a:graphicData>
            </a:graphic>
          </wp:inline>
        </w:drawing>
      </w:r>
    </w:p>
    <w:p w14:paraId="549039F8" w14:textId="63437BF7" w:rsidR="00867438" w:rsidRPr="00055F78" w:rsidRDefault="001308C8" w:rsidP="00055F78">
      <w:pPr>
        <w:jc w:val="center"/>
        <w:rPr>
          <w:sz w:val="18"/>
        </w:rPr>
      </w:pPr>
      <w:r w:rsidRPr="00A70A09">
        <w:rPr>
          <w:sz w:val="18"/>
        </w:rPr>
        <w:t xml:space="preserve">Source data: Lonsec as of </w:t>
      </w:r>
      <w:r w:rsidR="00D528C0">
        <w:rPr>
          <w:sz w:val="18"/>
        </w:rPr>
        <w:t>3</w:t>
      </w:r>
      <w:r w:rsidR="00B51EA3">
        <w:rPr>
          <w:sz w:val="18"/>
        </w:rPr>
        <w:t>0</w:t>
      </w:r>
      <w:r w:rsidR="00B51EA3" w:rsidRPr="00B51EA3">
        <w:rPr>
          <w:sz w:val="18"/>
          <w:vertAlign w:val="superscript"/>
        </w:rPr>
        <w:t>th</w:t>
      </w:r>
      <w:r w:rsidR="00B51EA3">
        <w:rPr>
          <w:sz w:val="18"/>
        </w:rPr>
        <w:t xml:space="preserve"> November</w:t>
      </w:r>
      <w:r w:rsidR="00A001EA">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BA2B8F">
        <w:fldChar w:fldCharType="separate"/>
      </w:r>
      <w:r w:rsidR="00BA2B8F">
        <w:fldChar w:fldCharType="end"/>
      </w:r>
    </w:p>
    <w:p w14:paraId="1DE3D6DE" w14:textId="20514116" w:rsidR="000C7672" w:rsidRDefault="00A23AF0" w:rsidP="00B53288">
      <w:r>
        <w:t>The developed markets a</w:t>
      </w:r>
      <w:r w:rsidR="00365C86">
        <w:t xml:space="preserve">sset classes </w:t>
      </w:r>
      <w:r w:rsidR="00EF6467">
        <w:t>finished</w:t>
      </w:r>
      <w:r w:rsidR="00CE64CE">
        <w:t xml:space="preserve"> </w:t>
      </w:r>
      <w:r w:rsidR="00B278F5">
        <w:t>stronger</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w:t>
      </w:r>
      <w:r w:rsidR="00E72E45">
        <w:t xml:space="preserve">ed </w:t>
      </w:r>
      <w:r w:rsidR="00C92CC1">
        <w:t>lower</w:t>
      </w:r>
      <w:r w:rsidR="00E72E45">
        <w:t xml:space="preserve"> </w:t>
      </w:r>
      <w:r w:rsidR="00A001EA">
        <w:t xml:space="preserve">at </w:t>
      </w:r>
      <w:r w:rsidR="00311F31">
        <w:t>0.6</w:t>
      </w:r>
      <w:r w:rsidR="00C92CC1">
        <w:t>5</w:t>
      </w:r>
      <w:r w:rsidR="00B278F5">
        <w:t>17</w:t>
      </w:r>
      <w:r w:rsidR="00311F31">
        <w:t xml:space="preserve"> </w:t>
      </w:r>
      <w:r>
        <w:t>(</w:t>
      </w:r>
      <w:r w:rsidR="00B278F5">
        <w:t>-0.79</w:t>
      </w:r>
      <w:r>
        <w:t>%)</w:t>
      </w:r>
      <w:r w:rsidR="007F0FC4">
        <w:t xml:space="preserve"> </w:t>
      </w:r>
      <w:r w:rsidR="00E72E45">
        <w:t>for</w:t>
      </w:r>
      <w:r w:rsidR="007F0FC4">
        <w:t xml:space="preserve"> the month which </w:t>
      </w:r>
      <w:r w:rsidR="00C92CC1">
        <w:t>benefitted</w:t>
      </w:r>
      <w:r w:rsidR="007F0FC4">
        <w:t xml:space="preserve"> </w:t>
      </w:r>
      <w:r w:rsidR="00E7618A">
        <w:t xml:space="preserve">returns for </w:t>
      </w:r>
      <w:r w:rsidR="007F0FC4">
        <w:t xml:space="preserve">unhedged holdings. </w:t>
      </w:r>
    </w:p>
    <w:p w14:paraId="4A4DCEFF" w14:textId="7D9925B4" w:rsidR="001C4340" w:rsidRPr="001C4340" w:rsidRDefault="001C4340" w:rsidP="00B53288">
      <w:pPr>
        <w:rPr>
          <w:b/>
          <w:bCs/>
        </w:rPr>
      </w:pPr>
      <w:r w:rsidRPr="001C4340">
        <w:rPr>
          <w:b/>
          <w:bCs/>
        </w:rPr>
        <w:t>Asset Class Performance</w:t>
      </w:r>
    </w:p>
    <w:p w14:paraId="5FFD9B16" w14:textId="6775BE38" w:rsidR="00EA4358" w:rsidRDefault="00B278F5" w:rsidP="00A001EA">
      <w:pPr>
        <w:jc w:val="center"/>
      </w:pPr>
      <w:r w:rsidRPr="00B278F5">
        <w:rPr>
          <w:noProof/>
        </w:rPr>
        <w:drawing>
          <wp:inline distT="0" distB="0" distL="0" distR="0" wp14:anchorId="7D66917C" wp14:editId="4FAC2426">
            <wp:extent cx="5731510" cy="3516630"/>
            <wp:effectExtent l="0" t="0" r="2540" b="7620"/>
            <wp:docPr id="558911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16630"/>
                    </a:xfrm>
                    <a:prstGeom prst="rect">
                      <a:avLst/>
                    </a:prstGeom>
                    <a:noFill/>
                    <a:ln>
                      <a:noFill/>
                    </a:ln>
                  </pic:spPr>
                </pic:pic>
              </a:graphicData>
            </a:graphic>
          </wp:inline>
        </w:drawing>
      </w:r>
    </w:p>
    <w:p w14:paraId="4F173F3B" w14:textId="6CA23FD8" w:rsidR="00E2343E" w:rsidRDefault="001F3631" w:rsidP="00E7618A">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6C3C9E">
        <w:rPr>
          <w:sz w:val="16"/>
          <w:szCs w:val="16"/>
        </w:rPr>
        <w:t>3</w:t>
      </w:r>
      <w:r w:rsidR="00B278F5">
        <w:rPr>
          <w:sz w:val="16"/>
          <w:szCs w:val="16"/>
        </w:rPr>
        <w:t>0</w:t>
      </w:r>
      <w:r w:rsidR="00B278F5" w:rsidRPr="00B278F5">
        <w:rPr>
          <w:sz w:val="16"/>
          <w:szCs w:val="16"/>
          <w:vertAlign w:val="superscript"/>
        </w:rPr>
        <w:t>th</w:t>
      </w:r>
      <w:r w:rsidR="00B278F5">
        <w:rPr>
          <w:sz w:val="16"/>
          <w:szCs w:val="16"/>
        </w:rPr>
        <w:t xml:space="preserve"> November</w:t>
      </w:r>
      <w:r w:rsidR="00063F3C">
        <w:rPr>
          <w:sz w:val="16"/>
          <w:szCs w:val="16"/>
          <w:vertAlign w:val="superscript"/>
        </w:rPr>
        <w:t xml:space="preserve"> </w:t>
      </w:r>
      <w:r w:rsidR="004E3C80">
        <w:rPr>
          <w:sz w:val="16"/>
          <w:szCs w:val="16"/>
        </w:rPr>
        <w:t>202</w:t>
      </w:r>
      <w:r w:rsidR="00190B5B">
        <w:rPr>
          <w:sz w:val="16"/>
          <w:szCs w:val="16"/>
        </w:rPr>
        <w:t>4</w:t>
      </w:r>
      <w:r w:rsidR="0062338B">
        <w:rPr>
          <w:sz w:val="16"/>
          <w:szCs w:val="16"/>
        </w:rPr>
        <w:t xml:space="preserve"> </w:t>
      </w:r>
      <w:r w:rsidRPr="001F3631">
        <w:rPr>
          <w:sz w:val="16"/>
          <w:szCs w:val="16"/>
        </w:rPr>
        <w:t>&amp; Fox Asset Management</w:t>
      </w:r>
    </w:p>
    <w:p w14:paraId="68131F76" w14:textId="27C21049" w:rsidR="00D72B03" w:rsidRPr="00D72B03" w:rsidRDefault="007B7DEB" w:rsidP="00F6077E">
      <w:pPr>
        <w:rPr>
          <w:b/>
          <w:bCs/>
        </w:rPr>
      </w:pPr>
      <w:r>
        <w:rPr>
          <w:b/>
          <w:bCs/>
        </w:rPr>
        <w:lastRenderedPageBreak/>
        <w:t>In</w:t>
      </w:r>
      <w:r w:rsidRPr="00D72B03">
        <w:rPr>
          <w:b/>
          <w:bCs/>
        </w:rPr>
        <w:t>vestment</w:t>
      </w:r>
      <w:r w:rsidR="00D72B03" w:rsidRPr="00D72B03">
        <w:rPr>
          <w:b/>
          <w:bCs/>
        </w:rPr>
        <w:t xml:space="preserve"> Climate</w:t>
      </w:r>
    </w:p>
    <w:p w14:paraId="1701C39F" w14:textId="5B618B39"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A001EA">
        <w:t>remains</w:t>
      </w:r>
      <w:r w:rsidR="007C64CC">
        <w:t xml:space="preserve"> </w:t>
      </w:r>
      <w:r w:rsidR="001E16AE">
        <w:rPr>
          <w:b/>
          <w:bCs/>
        </w:rPr>
        <w:t>“</w:t>
      </w:r>
      <w:r w:rsidR="00311F31">
        <w:rPr>
          <w:b/>
          <w:bCs/>
        </w:rPr>
        <w:t>cautiously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665AF3">
        <w:t xml:space="preserve">are encouraged by the </w:t>
      </w:r>
      <w:r w:rsidR="00C92CC1">
        <w:t xml:space="preserve">anticipated </w:t>
      </w:r>
      <w:r w:rsidR="00665AF3">
        <w:t>gradual easing of interest rates</w:t>
      </w:r>
      <w:r w:rsidR="00C92CC1">
        <w:t xml:space="preserve"> however, the </w:t>
      </w:r>
      <w:r w:rsidR="002828E4">
        <w:t xml:space="preserve">unsettled nature of the </w:t>
      </w:r>
      <w:r w:rsidR="00C92CC1">
        <w:t xml:space="preserve">bond markets </w:t>
      </w:r>
      <w:r w:rsidR="002828E4">
        <w:t>clouds the short-term direction of shares</w:t>
      </w:r>
      <w:r w:rsidR="00665AF3">
        <w:t xml:space="preserve">. </w:t>
      </w:r>
      <w:r w:rsidR="00074A1A">
        <w:t>T</w:t>
      </w:r>
      <w:r w:rsidR="00B02125">
        <w:t xml:space="preserve">he </w:t>
      </w:r>
      <w:r w:rsidR="00074A1A">
        <w:t>soft-landing</w:t>
      </w:r>
      <w:r w:rsidR="00B02125">
        <w:t xml:space="preserve"> </w:t>
      </w:r>
      <w:r w:rsidR="00074A1A">
        <w:t xml:space="preserve">expectations </w:t>
      </w:r>
      <w:r w:rsidR="00B02125">
        <w:t>and economic recovery</w:t>
      </w:r>
      <w:r w:rsidR="00074A1A">
        <w:t xml:space="preserve"> are still supported</w:t>
      </w:r>
      <w:r w:rsidR="00854E2E">
        <w:t>,</w:t>
      </w:r>
      <w:r w:rsidR="00B02125">
        <w:t xml:space="preserve"> despite the </w:t>
      </w:r>
      <w:r w:rsidR="00C92CC1">
        <w:t xml:space="preserve">interest rate retreat and the </w:t>
      </w:r>
      <w:r w:rsidR="002627B9">
        <w:t xml:space="preserve">European and </w:t>
      </w:r>
      <w:r w:rsidR="001E16AE">
        <w:t xml:space="preserve">middle east conflict. </w:t>
      </w:r>
    </w:p>
    <w:p w14:paraId="0AEB38DD" w14:textId="0EF52735"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E72E45">
        <w:t xml:space="preserve">) which is showing signs of recovery </w:t>
      </w:r>
      <w:r w:rsidR="004361BB">
        <w:t xml:space="preserve">post </w:t>
      </w:r>
      <w:r w:rsidR="003B1467" w:rsidRPr="003B1467">
        <w:t>June 30</w:t>
      </w:r>
      <w:r w:rsidR="004361BB">
        <w:t xml:space="preserve">, </w:t>
      </w:r>
      <w:r w:rsidR="00E72E45">
        <w:t>2024, valuation reporting</w:t>
      </w:r>
      <w:r w:rsidR="003B1467" w:rsidRPr="003B1467">
        <w:t>.</w:t>
      </w:r>
    </w:p>
    <w:p w14:paraId="4D2D3182" w14:textId="228D0350" w:rsidR="00201A4D" w:rsidRDefault="0089672B" w:rsidP="001E16AE">
      <w:pPr>
        <w:spacing w:before="120" w:after="120"/>
      </w:pPr>
      <w:r>
        <w:t xml:space="preserve">Consumption </w:t>
      </w:r>
      <w:r w:rsidR="00B04D6E">
        <w:t xml:space="preserve">is </w:t>
      </w:r>
      <w:r w:rsidR="004361BB">
        <w:t xml:space="preserve">firm and holding up well </w:t>
      </w:r>
      <w:r w:rsidR="003B1467">
        <w:t xml:space="preserve">with </w:t>
      </w:r>
      <w:r w:rsidR="003B1467" w:rsidRPr="00854E2E">
        <w:rPr>
          <w:b/>
          <w:bCs/>
        </w:rPr>
        <w:t xml:space="preserve">retail sales </w:t>
      </w:r>
      <w:r w:rsidR="00C92CC1">
        <w:rPr>
          <w:b/>
          <w:bCs/>
        </w:rPr>
        <w:t xml:space="preserve">YOY </w:t>
      </w:r>
      <w:r w:rsidR="003B1467" w:rsidRPr="00854E2E">
        <w:rPr>
          <w:b/>
          <w:bCs/>
        </w:rPr>
        <w:t xml:space="preserve">in Australia </w:t>
      </w:r>
      <w:r w:rsidR="00497862" w:rsidRPr="00854E2E">
        <w:rPr>
          <w:b/>
          <w:bCs/>
        </w:rPr>
        <w:t>ris</w:t>
      </w:r>
      <w:r w:rsidR="00074A1A" w:rsidRPr="00854E2E">
        <w:rPr>
          <w:b/>
          <w:bCs/>
        </w:rPr>
        <w:t>ing</w:t>
      </w:r>
      <w:r w:rsidR="003B1467" w:rsidRPr="00854E2E">
        <w:rPr>
          <w:b/>
          <w:bCs/>
        </w:rPr>
        <w:t xml:space="preserve"> by </w:t>
      </w:r>
      <w:r w:rsidR="00984AC0" w:rsidRPr="00854E2E">
        <w:rPr>
          <w:b/>
          <w:bCs/>
        </w:rPr>
        <w:t>(</w:t>
      </w:r>
      <w:r w:rsidR="00497862" w:rsidRPr="00854E2E">
        <w:rPr>
          <w:b/>
          <w:bCs/>
        </w:rPr>
        <w:t>+</w:t>
      </w:r>
      <w:r w:rsidR="00C92CC1">
        <w:rPr>
          <w:b/>
          <w:bCs/>
        </w:rPr>
        <w:t>3.</w:t>
      </w:r>
      <w:r w:rsidR="002828E4">
        <w:rPr>
          <w:b/>
          <w:bCs/>
        </w:rPr>
        <w:t>4</w:t>
      </w:r>
      <w:r w:rsidR="004361BB" w:rsidRPr="00854E2E">
        <w:rPr>
          <w:b/>
          <w:bCs/>
        </w:rPr>
        <w:t>0</w:t>
      </w:r>
      <w:r w:rsidR="00074A1A" w:rsidRPr="00854E2E">
        <w:rPr>
          <w:b/>
          <w:bCs/>
        </w:rPr>
        <w:t>%</w:t>
      </w:r>
      <w:r w:rsidR="00984AC0" w:rsidRPr="00854E2E">
        <w:rPr>
          <w:b/>
          <w:bCs/>
        </w:rPr>
        <w:t>)</w:t>
      </w:r>
      <w:r w:rsidR="003B1467">
        <w:t xml:space="preserve"> in </w:t>
      </w:r>
      <w:r w:rsidR="002828E4">
        <w:t>October</w:t>
      </w:r>
      <w:r w:rsidR="003B1467">
        <w:t xml:space="preserve"> 2024 </w:t>
      </w:r>
      <w:r w:rsidR="00B04D6E">
        <w:t xml:space="preserve">which </w:t>
      </w:r>
      <w:r w:rsidR="00497862">
        <w:t>will</w:t>
      </w:r>
      <w:r w:rsidR="00B02125">
        <w:t xml:space="preserve"> </w:t>
      </w:r>
      <w:r w:rsidR="00074A1A">
        <w:t xml:space="preserve">impact company profit expectations </w:t>
      </w:r>
      <w:r>
        <w:t>in the short-term</w:t>
      </w:r>
      <w:r w:rsidR="004361BB">
        <w:t xml:space="preserve"> and worry the RBA</w:t>
      </w:r>
      <w:r w:rsidR="00816FD5">
        <w:t xml:space="preserve"> from an inflation perspective</w:t>
      </w:r>
      <w:r w:rsidR="00984AC0">
        <w:t>.</w:t>
      </w:r>
      <w:r w:rsidR="00D74275">
        <w:t xml:space="preserve"> </w:t>
      </w:r>
    </w:p>
    <w:p w14:paraId="6B8750FC" w14:textId="11FCBD0F" w:rsidR="007C64CC" w:rsidRPr="00816FD5" w:rsidRDefault="00BE0AFA" w:rsidP="00F6077E">
      <w:r>
        <w:t xml:space="preserve">The </w:t>
      </w:r>
      <w:r w:rsidRPr="00DD3CC2">
        <w:rPr>
          <w:b/>
          <w:bCs/>
        </w:rPr>
        <w:t>medium-term view remains</w:t>
      </w:r>
      <w:r w:rsidRPr="00BE0AFA">
        <w:rPr>
          <w:b/>
          <w:bCs/>
        </w:rPr>
        <w:t xml:space="preserve"> positive</w:t>
      </w:r>
      <w:r>
        <w:t xml:space="preserve"> for returns </w:t>
      </w:r>
      <w:r w:rsidR="00816FD5">
        <w:t xml:space="preserve">following </w:t>
      </w:r>
      <w:r w:rsidR="00816FD5" w:rsidRPr="00816FD5">
        <w:t xml:space="preserve">the </w:t>
      </w:r>
      <w:r w:rsidR="007C64CC" w:rsidRPr="00816FD5">
        <w:t xml:space="preserve">US Fed </w:t>
      </w:r>
      <w:r w:rsidR="00CF156A" w:rsidRPr="00816FD5">
        <w:t>Chair, Jerome Powel</w:t>
      </w:r>
      <w:r w:rsidR="00816FD5" w:rsidRPr="00816FD5">
        <w:t xml:space="preserve">s comments </w:t>
      </w:r>
      <w:r w:rsidR="00816FD5">
        <w:t xml:space="preserve">and the expected </w:t>
      </w:r>
      <w:r w:rsidR="00665AF3">
        <w:t xml:space="preserve">further </w:t>
      </w:r>
      <w:r w:rsidR="00816FD5">
        <w:t>easing of interest rates in the US.</w:t>
      </w:r>
      <w:r w:rsidR="00816FD5" w:rsidRPr="00816FD5">
        <w:t xml:space="preserve"> </w:t>
      </w:r>
    </w:p>
    <w:p w14:paraId="024D1376" w14:textId="0CA26068"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w:t>
      </w:r>
      <w:r w:rsidR="00665AF3">
        <w:t xml:space="preserve"> and early 2025</w:t>
      </w:r>
      <w:r w:rsidR="007C64CC">
        <w:t xml:space="preserve">. Remember </w:t>
      </w:r>
      <w:r w:rsidR="007C64CC" w:rsidRPr="007C64CC">
        <w:rPr>
          <w:b/>
          <w:bCs/>
        </w:rPr>
        <w:t>markets are forward looking</w:t>
      </w:r>
      <w:r w:rsidR="007C64CC">
        <w:t xml:space="preserve"> so the support now is reflecting the expectations for conditions in </w:t>
      </w:r>
      <w:r w:rsidR="002828E4">
        <w:t>August</w:t>
      </w:r>
      <w:r w:rsidR="007C64CC">
        <w:t xml:space="preserve"> 202</w:t>
      </w:r>
      <w:r w:rsidR="00984AC0">
        <w:t>5</w:t>
      </w:r>
      <w:r w:rsidR="007C64CC">
        <w:t>.</w:t>
      </w:r>
      <w:r>
        <w:t xml:space="preserve"> </w:t>
      </w:r>
    </w:p>
    <w:p w14:paraId="6F8EECA2" w14:textId="7EAD0EE1"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FA1935">
        <w:rPr>
          <w:b/>
          <w:bCs/>
        </w:rPr>
        <w:t>3</w:t>
      </w:r>
      <w:r w:rsidR="0055685E">
        <w:rPr>
          <w:b/>
          <w:bCs/>
        </w:rPr>
        <w:t>0</w:t>
      </w:r>
      <w:r w:rsidR="0055685E" w:rsidRPr="0055685E">
        <w:rPr>
          <w:b/>
          <w:bCs/>
          <w:vertAlign w:val="superscript"/>
        </w:rPr>
        <w:t>th</w:t>
      </w:r>
      <w:r w:rsidR="0055685E">
        <w:rPr>
          <w:b/>
          <w:bCs/>
        </w:rPr>
        <w:t xml:space="preserve"> November</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4A414FC3" w14:textId="1527969B" w:rsidR="00F230EC" w:rsidRDefault="007B239A" w:rsidP="009E7EF6">
      <w:pPr>
        <w:spacing w:before="120" w:after="120" w:line="240" w:lineRule="auto"/>
      </w:pPr>
      <w:r w:rsidRPr="00F90325">
        <w:t xml:space="preserve">Global </w:t>
      </w:r>
      <w:r w:rsidR="00CB2DF1">
        <w:t xml:space="preserve">share </w:t>
      </w:r>
      <w:r w:rsidR="00F82AE9">
        <w:t xml:space="preserve">markets </w:t>
      </w:r>
      <w:r w:rsidR="00FA390E">
        <w:t xml:space="preserve">over </w:t>
      </w:r>
      <w:r w:rsidR="0055685E">
        <w:t>November</w:t>
      </w:r>
      <w:r w:rsidR="00B752EF">
        <w:t xml:space="preserve"> were </w:t>
      </w:r>
      <w:r w:rsidR="0055685E">
        <w:t xml:space="preserve">mixed </w:t>
      </w:r>
      <w:r w:rsidR="00131EB9">
        <w:t xml:space="preserve">with </w:t>
      </w:r>
      <w:r w:rsidR="0055685E">
        <w:t>losses</w:t>
      </w:r>
      <w:r w:rsidR="00131EB9">
        <w:t xml:space="preserve"> experienced across </w:t>
      </w:r>
      <w:r w:rsidR="0055685E">
        <w:t xml:space="preserve">Europe, </w:t>
      </w:r>
      <w:r w:rsidR="00531BEC">
        <w:t>Asia,</w:t>
      </w:r>
      <w:r w:rsidR="00131EB9">
        <w:t xml:space="preserve"> and the Emerging Markets. </w:t>
      </w:r>
      <w:r w:rsidR="00200F95">
        <w:t xml:space="preserve">Central Banks </w:t>
      </w:r>
      <w:r w:rsidR="00F230EC">
        <w:t>are responding to the economic climate by easing interest rates. Switzerland eased by 50 basis points to 0.50% and the European Central Bank pushed their target cash rate down by 25 basis points. T</w:t>
      </w:r>
      <w:r w:rsidR="00131EB9">
        <w:t xml:space="preserve">he US Fed </w:t>
      </w:r>
      <w:r w:rsidR="00F230EC">
        <w:t xml:space="preserve">is expected to </w:t>
      </w:r>
      <w:r w:rsidR="00131EB9">
        <w:t>ease their target cash rates</w:t>
      </w:r>
      <w:r w:rsidR="00CB2DF1">
        <w:t xml:space="preserve"> </w:t>
      </w:r>
      <w:r w:rsidR="00F230EC">
        <w:t xml:space="preserve">further </w:t>
      </w:r>
      <w:r w:rsidR="00CB2DF1">
        <w:t xml:space="preserve">by </w:t>
      </w:r>
      <w:r w:rsidR="00F230EC">
        <w:t xml:space="preserve">another </w:t>
      </w:r>
      <w:r w:rsidR="00CB2DF1">
        <w:t xml:space="preserve">0.25% despite the </w:t>
      </w:r>
      <w:r w:rsidR="0055685E">
        <w:t>unsettled nature of</w:t>
      </w:r>
      <w:r w:rsidR="00CB2DF1">
        <w:t xml:space="preserve"> bond markets</w:t>
      </w:r>
      <w:r w:rsidR="00FC4FEF">
        <w:t xml:space="preserve"> when it meets on the 17-18</w:t>
      </w:r>
      <w:r w:rsidR="00FC4FEF" w:rsidRPr="00FC4FEF">
        <w:rPr>
          <w:vertAlign w:val="superscript"/>
        </w:rPr>
        <w:t>th</w:t>
      </w:r>
      <w:r w:rsidR="00FC4FEF">
        <w:t xml:space="preserve"> December 2024.</w:t>
      </w:r>
      <w:r w:rsidR="00131EB9">
        <w:t xml:space="preserve"> </w:t>
      </w:r>
    </w:p>
    <w:p w14:paraId="35A8699D" w14:textId="77777777" w:rsidR="00FC4FEF" w:rsidRDefault="00200F95" w:rsidP="009E7EF6">
      <w:pPr>
        <w:spacing w:before="120" w:after="120" w:line="240" w:lineRule="auto"/>
      </w:pPr>
      <w:r>
        <w:t>D</w:t>
      </w:r>
      <w:r w:rsidR="00B02125">
        <w:t xml:space="preserve">ebt markets </w:t>
      </w:r>
      <w:r w:rsidR="00CB2DF1">
        <w:t>prices fell after running too far to fast following the election results. T</w:t>
      </w:r>
      <w:r w:rsidR="00B752EF">
        <w:t xml:space="preserve">he easing programme </w:t>
      </w:r>
      <w:r w:rsidR="00CB2DF1">
        <w:t xml:space="preserve">is </w:t>
      </w:r>
      <w:r w:rsidR="00B752EF">
        <w:t xml:space="preserve">expected to </w:t>
      </w:r>
      <w:r w:rsidR="00B752EF" w:rsidRPr="00B752EF">
        <w:rPr>
          <w:b/>
          <w:bCs/>
        </w:rPr>
        <w:t>slowly re-enforce growth prospects</w:t>
      </w:r>
      <w:r w:rsidR="00B752EF">
        <w:t xml:space="preserve"> for the global economy.</w:t>
      </w:r>
      <w:r w:rsidR="00B02125">
        <w:t xml:space="preserve"> </w:t>
      </w:r>
      <w:r w:rsidR="00FC4FEF">
        <w:t xml:space="preserve">Markets are already showing support for a pause in the easing programme in 2025 which is mitigating the expectations for a more concerted effort. </w:t>
      </w:r>
    </w:p>
    <w:p w14:paraId="2BFD0D32" w14:textId="77777777" w:rsidR="00FC4FEF" w:rsidRDefault="00FC4FEF" w:rsidP="009E7EF6">
      <w:pPr>
        <w:spacing w:before="120" w:after="120" w:line="240" w:lineRule="auto"/>
      </w:pPr>
    </w:p>
    <w:p w14:paraId="01BB73BA" w14:textId="77777777" w:rsidR="00FC4FEF" w:rsidRDefault="00FC4FEF" w:rsidP="009E7EF6">
      <w:pPr>
        <w:spacing w:before="120" w:after="120" w:line="240" w:lineRule="auto"/>
      </w:pPr>
    </w:p>
    <w:p w14:paraId="0A5C3F6D" w14:textId="77777777" w:rsidR="00FC4FEF" w:rsidRDefault="00FC4FEF" w:rsidP="009E7EF6">
      <w:pPr>
        <w:spacing w:before="120" w:after="120" w:line="240" w:lineRule="auto"/>
      </w:pPr>
    </w:p>
    <w:p w14:paraId="6A0D8148" w14:textId="737D51A1" w:rsidR="00B02125" w:rsidRPr="00BB456F" w:rsidRDefault="000035CC" w:rsidP="009E7EF6">
      <w:pPr>
        <w:spacing w:before="120" w:after="120" w:line="240" w:lineRule="auto"/>
        <w:rPr>
          <w:b/>
          <w:bCs/>
        </w:rPr>
      </w:pPr>
      <w:r w:rsidRPr="00BB456F">
        <w:rPr>
          <w:b/>
          <w:bCs/>
        </w:rPr>
        <w:lastRenderedPageBreak/>
        <w:t xml:space="preserve">Summary of </w:t>
      </w:r>
      <w:r w:rsidR="00BB456F">
        <w:rPr>
          <w:b/>
          <w:bCs/>
        </w:rPr>
        <w:t xml:space="preserve">global </w:t>
      </w:r>
      <w:r w:rsidRPr="00BB456F">
        <w:rPr>
          <w:b/>
          <w:bCs/>
        </w:rPr>
        <w:t>share returns:</w:t>
      </w:r>
    </w:p>
    <w:p w14:paraId="7204A7A0" w14:textId="37193561" w:rsidR="00CB2DF1" w:rsidRDefault="00F230EC" w:rsidP="00CB2DF1">
      <w:pPr>
        <w:spacing w:before="120" w:after="120" w:line="240" w:lineRule="auto"/>
        <w:jc w:val="center"/>
      </w:pPr>
      <w:r w:rsidRPr="00F230EC">
        <w:rPr>
          <w:noProof/>
        </w:rPr>
        <w:drawing>
          <wp:inline distT="0" distB="0" distL="0" distR="0" wp14:anchorId="091ADE64" wp14:editId="11447D5A">
            <wp:extent cx="3799522" cy="1749425"/>
            <wp:effectExtent l="0" t="0" r="0" b="3175"/>
            <wp:docPr id="48137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5654" cy="1756853"/>
                    </a:xfrm>
                    <a:prstGeom prst="rect">
                      <a:avLst/>
                    </a:prstGeom>
                    <a:noFill/>
                    <a:ln>
                      <a:noFill/>
                    </a:ln>
                  </pic:spPr>
                </pic:pic>
              </a:graphicData>
            </a:graphic>
          </wp:inline>
        </w:drawing>
      </w:r>
    </w:p>
    <w:p w14:paraId="37653ECA" w14:textId="5FC91A71" w:rsidR="00FC4FEF" w:rsidRDefault="00FC4FEF" w:rsidP="00CB2DF1">
      <w:pPr>
        <w:spacing w:before="120" w:after="120" w:line="240" w:lineRule="auto"/>
        <w:jc w:val="center"/>
      </w:pPr>
      <w:r w:rsidRPr="001F3631">
        <w:rPr>
          <w:sz w:val="16"/>
          <w:szCs w:val="16"/>
        </w:rPr>
        <w:t xml:space="preserve">Data Source: Lonsec </w:t>
      </w:r>
      <w:r>
        <w:rPr>
          <w:sz w:val="16"/>
          <w:szCs w:val="16"/>
        </w:rPr>
        <w:t>as of 30</w:t>
      </w:r>
      <w:r w:rsidRPr="00B278F5">
        <w:rPr>
          <w:sz w:val="16"/>
          <w:szCs w:val="16"/>
          <w:vertAlign w:val="superscript"/>
        </w:rPr>
        <w:t>th</w:t>
      </w:r>
      <w:r>
        <w:rPr>
          <w:sz w:val="16"/>
          <w:szCs w:val="16"/>
        </w:rPr>
        <w:t xml:space="preserve"> November</w:t>
      </w:r>
      <w:r>
        <w:rPr>
          <w:sz w:val="16"/>
          <w:szCs w:val="16"/>
          <w:vertAlign w:val="superscript"/>
        </w:rPr>
        <w:t xml:space="preserve"> </w:t>
      </w:r>
      <w:r>
        <w:rPr>
          <w:sz w:val="16"/>
          <w:szCs w:val="16"/>
        </w:rPr>
        <w:t>2024</w:t>
      </w:r>
    </w:p>
    <w:p w14:paraId="4D1ADF38" w14:textId="13DC568F" w:rsidR="00BD000B"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w:t>
      </w:r>
      <w:r w:rsidR="00131EB9">
        <w:t>,</w:t>
      </w:r>
      <w:r w:rsidR="00802E86">
        <w:t xml:space="preserve"> </w:t>
      </w:r>
      <w:r w:rsidR="00131EB9">
        <w:t>Gaza (</w:t>
      </w:r>
      <w:r w:rsidR="00802E86">
        <w:t>H</w:t>
      </w:r>
      <w:r w:rsidR="008F5026">
        <w:t>a</w:t>
      </w:r>
      <w:r w:rsidR="00802E86">
        <w:t>mas</w:t>
      </w:r>
      <w:r w:rsidR="00131EB9">
        <w:t>) and now Lebanon</w:t>
      </w:r>
      <w:r w:rsidR="00802E86">
        <w:t xml:space="preserve"> </w:t>
      </w:r>
      <w:r w:rsidR="005200E9">
        <w:t>has prompted investors</w:t>
      </w:r>
      <w:r w:rsidR="00816F91">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3C40F3">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447BD945" w:rsidR="00C52E4A" w:rsidRDefault="00131EB9" w:rsidP="003C40F3">
      <w:pPr>
        <w:pStyle w:val="ListParagraph"/>
        <w:numPr>
          <w:ilvl w:val="0"/>
          <w:numId w:val="6"/>
        </w:numPr>
        <w:spacing w:before="0" w:after="0" w:line="276" w:lineRule="auto"/>
        <w:ind w:left="357" w:hanging="357"/>
      </w:pPr>
      <w:r>
        <w:rPr>
          <w:b/>
          <w:bCs/>
        </w:rPr>
        <w:t>C</w:t>
      </w:r>
      <w:r w:rsidR="00382D5C">
        <w:rPr>
          <w:b/>
          <w:bCs/>
        </w:rPr>
        <w:t xml:space="preserve">ommodity prices </w:t>
      </w:r>
      <w:r w:rsidRPr="00131EB9">
        <w:t xml:space="preserve">(post China policy changes) </w:t>
      </w:r>
      <w:r w:rsidR="00382D5C">
        <w:rPr>
          <w:b/>
          <w:bCs/>
        </w:rPr>
        <w:t>and the impact on company profits</w:t>
      </w:r>
    </w:p>
    <w:p w14:paraId="78654FD1" w14:textId="73FF2CF2" w:rsidR="00C52E4A" w:rsidRDefault="00C52E4A" w:rsidP="003C40F3">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elevated </w:t>
      </w:r>
      <w:r>
        <w:t xml:space="preserve">inflation </w:t>
      </w:r>
      <w:r w:rsidR="008261BB">
        <w:t>level</w:t>
      </w:r>
      <w:r>
        <w:t>.</w:t>
      </w:r>
    </w:p>
    <w:p w14:paraId="72D4FB61" w14:textId="3D232855" w:rsidR="00C52E4A" w:rsidRDefault="00C52E4A" w:rsidP="003C40F3">
      <w:pPr>
        <w:pStyle w:val="ListParagraph"/>
        <w:numPr>
          <w:ilvl w:val="0"/>
          <w:numId w:val="6"/>
        </w:numPr>
        <w:spacing w:before="0" w:after="0" w:line="276" w:lineRule="auto"/>
        <w:ind w:left="357" w:hanging="357"/>
      </w:pPr>
      <w:r w:rsidRPr="00C52E4A">
        <w:rPr>
          <w:b/>
          <w:bCs/>
        </w:rPr>
        <w:t>Inflation</w:t>
      </w:r>
      <w:r>
        <w:t xml:space="preserve"> </w:t>
      </w:r>
      <w:r w:rsidR="00382D5C">
        <w:t xml:space="preserve">(Y-O-Y) </w:t>
      </w:r>
      <w:r>
        <w:t xml:space="preserve">remains </w:t>
      </w:r>
      <w:r w:rsidR="00CB2DF1">
        <w:t xml:space="preserve">elevated </w:t>
      </w:r>
      <w:r w:rsidR="00382D5C">
        <w:t xml:space="preserve"> at </w:t>
      </w:r>
      <w:r w:rsidR="00CB2DF1">
        <w:t>2.8</w:t>
      </w:r>
      <w:r>
        <w:t xml:space="preserve">% </w:t>
      </w:r>
      <w:r w:rsidR="00CB2DF1">
        <w:t>down</w:t>
      </w:r>
      <w:r w:rsidR="008F3798">
        <w:t xml:space="preserve"> </w:t>
      </w:r>
      <w:r>
        <w:t xml:space="preserve">from </w:t>
      </w:r>
      <w:r w:rsidR="008F3798">
        <w:t>3.</w:t>
      </w:r>
      <w:r w:rsidR="00CB2DF1">
        <w:t>8</w:t>
      </w:r>
      <w:r>
        <w:t xml:space="preserve">% in the </w:t>
      </w:r>
      <w:r w:rsidR="00382D5C">
        <w:t>second</w:t>
      </w:r>
      <w:r>
        <w:t xml:space="preserve"> quarter of 202</w:t>
      </w:r>
      <w:r w:rsidR="008F3798">
        <w:t>4</w:t>
      </w:r>
      <w:r>
        <w:t xml:space="preserve"> which </w:t>
      </w:r>
      <w:r w:rsidR="008F3798">
        <w:t>is</w:t>
      </w:r>
      <w:r w:rsidR="00CB2DF1">
        <w:t xml:space="preserve"> finally</w:t>
      </w:r>
      <w:r>
        <w:t xml:space="preserve"> heading in the right direction</w:t>
      </w:r>
      <w:r w:rsidR="00CB2DF1">
        <w:t>.</w:t>
      </w:r>
    </w:p>
    <w:p w14:paraId="5BA48DC4" w14:textId="3E3B3C2A" w:rsidR="00531BEC" w:rsidRPr="00531BEC" w:rsidRDefault="00531BEC" w:rsidP="003C40F3">
      <w:pPr>
        <w:pStyle w:val="ListParagraph"/>
        <w:numPr>
          <w:ilvl w:val="0"/>
          <w:numId w:val="6"/>
        </w:numPr>
        <w:spacing w:before="0" w:after="0" w:line="276" w:lineRule="auto"/>
        <w:ind w:left="357" w:hanging="357"/>
      </w:pPr>
      <w:r>
        <w:rPr>
          <w:b/>
          <w:bCs/>
        </w:rPr>
        <w:t xml:space="preserve">Government spending </w:t>
      </w:r>
      <w:r w:rsidRPr="00531BEC">
        <w:t>and the rising debt level.</w:t>
      </w:r>
    </w:p>
    <w:p w14:paraId="206FBAA8" w14:textId="77777777" w:rsidR="00131EB9" w:rsidRPr="00BB456F" w:rsidRDefault="00220A49" w:rsidP="003519E4">
      <w:pPr>
        <w:pStyle w:val="ListParagraph"/>
        <w:numPr>
          <w:ilvl w:val="0"/>
          <w:numId w:val="6"/>
        </w:numPr>
        <w:spacing w:before="0" w:after="0" w:line="276" w:lineRule="auto"/>
        <w:ind w:left="357" w:hanging="357"/>
        <w:rPr>
          <w:rFonts w:asciiTheme="minorHAnsi" w:eastAsiaTheme="minorEastAsia" w:hAnsiTheme="minorHAnsi" w:cstheme="minorBidi"/>
          <w:iCs w:val="0"/>
          <w:lang w:bidi="ar-SA"/>
        </w:rPr>
      </w:pPr>
      <w:r w:rsidRPr="00A87065">
        <w:rPr>
          <w:b/>
          <w:bCs/>
        </w:rPr>
        <w:t>China growth prospects</w:t>
      </w:r>
      <w:r>
        <w:t xml:space="preserve"> –</w:t>
      </w:r>
      <w:r w:rsidR="00A87065" w:rsidRPr="00A87065">
        <w:t xml:space="preserve"> </w:t>
      </w:r>
      <w:r w:rsidR="00131EB9">
        <w:t xml:space="preserve">Now that the PBoC has released the next round of policy changes, the markets have reacted positively. There are still concerns about whether they have done enough however, it has given a much-needed boost to markets. </w:t>
      </w:r>
    </w:p>
    <w:p w14:paraId="019B2724" w14:textId="77777777" w:rsidR="00BB456F" w:rsidRDefault="00BB456F" w:rsidP="00BB456F">
      <w:pPr>
        <w:spacing w:before="0" w:after="0"/>
      </w:pPr>
    </w:p>
    <w:p w14:paraId="5CA33D06" w14:textId="77777777" w:rsidR="00BB456F" w:rsidRDefault="00BB456F" w:rsidP="00BB456F">
      <w:pPr>
        <w:spacing w:before="0" w:after="0"/>
      </w:pPr>
    </w:p>
    <w:p w14:paraId="3D754E57" w14:textId="77777777" w:rsidR="00BB456F" w:rsidRDefault="00BB456F" w:rsidP="00BB456F">
      <w:pPr>
        <w:spacing w:before="0" w:after="0"/>
      </w:pPr>
    </w:p>
    <w:p w14:paraId="5A2F4D57" w14:textId="77777777" w:rsidR="00BB456F" w:rsidRDefault="00BB456F" w:rsidP="00BB456F">
      <w:pPr>
        <w:spacing w:before="0" w:after="0"/>
      </w:pPr>
    </w:p>
    <w:p w14:paraId="7D7821F0" w14:textId="77777777" w:rsidR="00BB456F" w:rsidRDefault="00BB456F" w:rsidP="00BB456F">
      <w:pPr>
        <w:spacing w:before="0" w:after="0"/>
      </w:pPr>
    </w:p>
    <w:p w14:paraId="1435A6F5" w14:textId="77777777" w:rsidR="00BB456F" w:rsidRDefault="00BB456F" w:rsidP="00BB456F">
      <w:pPr>
        <w:spacing w:before="0" w:after="0"/>
      </w:pPr>
    </w:p>
    <w:p w14:paraId="25177CE2" w14:textId="77777777" w:rsidR="00BB456F" w:rsidRDefault="00BB456F" w:rsidP="00BB456F">
      <w:pPr>
        <w:spacing w:before="0" w:after="0"/>
      </w:pPr>
    </w:p>
    <w:p w14:paraId="62DCF6E7" w14:textId="77777777" w:rsidR="00BB456F" w:rsidRDefault="00BB456F" w:rsidP="00BB456F">
      <w:pPr>
        <w:spacing w:before="0" w:after="0"/>
      </w:pPr>
    </w:p>
    <w:p w14:paraId="5709ED26" w14:textId="77777777" w:rsidR="00BB456F" w:rsidRPr="00BB456F" w:rsidRDefault="00BB456F" w:rsidP="00BB456F">
      <w:pPr>
        <w:spacing w:before="0" w:after="0"/>
      </w:pPr>
    </w:p>
    <w:p w14:paraId="46D6F0C5" w14:textId="4F08D211" w:rsidR="009E7EF6" w:rsidRPr="00A040F8" w:rsidRDefault="006C3294" w:rsidP="00A040F8">
      <w:pPr>
        <w:pStyle w:val="Heading2"/>
        <w:rPr>
          <w:rFonts w:asciiTheme="minorHAnsi" w:eastAsiaTheme="minorEastAsia" w:hAnsiTheme="minorHAnsi" w:cstheme="minorBidi"/>
          <w:iCs w:val="0"/>
          <w:color w:val="414042" w:themeColor="text1"/>
          <w:sz w:val="22"/>
          <w:lang w:val="en-AU" w:bidi="ar-SA"/>
        </w:rPr>
      </w:pPr>
      <w:r w:rsidRPr="00A040F8">
        <w:rPr>
          <w:rFonts w:asciiTheme="minorHAnsi" w:eastAsiaTheme="minorEastAsia" w:hAnsiTheme="minorHAnsi" w:cstheme="minorBidi"/>
          <w:iCs w:val="0"/>
          <w:color w:val="414042" w:themeColor="text1"/>
          <w:sz w:val="22"/>
          <w:lang w:val="en-AU" w:bidi="ar-SA"/>
        </w:rPr>
        <w:lastRenderedPageBreak/>
        <w:t>A</w:t>
      </w:r>
      <w:r w:rsidR="009E7EF6" w:rsidRPr="00A040F8">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39C4DEAF" w14:textId="77777777" w:rsidR="00193344" w:rsidRDefault="00BB456F" w:rsidP="00A16C57">
      <w:pPr>
        <w:jc w:val="center"/>
        <w:rPr>
          <w:sz w:val="18"/>
        </w:rPr>
      </w:pPr>
      <w:r w:rsidRPr="00BB456F">
        <w:rPr>
          <w:noProof/>
          <w:sz w:val="18"/>
        </w:rPr>
        <w:drawing>
          <wp:inline distT="0" distB="0" distL="0" distR="0" wp14:anchorId="0311F020" wp14:editId="2C9502C3">
            <wp:extent cx="4523232" cy="3617711"/>
            <wp:effectExtent l="0" t="0" r="0" b="1905"/>
            <wp:docPr id="1967260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3377" cy="3617827"/>
                    </a:xfrm>
                    <a:prstGeom prst="rect">
                      <a:avLst/>
                    </a:prstGeom>
                    <a:noFill/>
                    <a:ln>
                      <a:noFill/>
                    </a:ln>
                  </pic:spPr>
                </pic:pic>
              </a:graphicData>
            </a:graphic>
          </wp:inline>
        </w:drawing>
      </w:r>
    </w:p>
    <w:p w14:paraId="23E92196" w14:textId="77777777" w:rsidR="00193344" w:rsidRPr="00BE778B" w:rsidRDefault="00193344" w:rsidP="00193344">
      <w:pPr>
        <w:jc w:val="center"/>
        <w:rPr>
          <w:sz w:val="18"/>
        </w:rPr>
      </w:pPr>
      <w:bookmarkStart w:id="2" w:name="_Hlk535352886"/>
      <w:r w:rsidRPr="00A70A09">
        <w:rPr>
          <w:sz w:val="18"/>
        </w:rPr>
        <w:t>Source data: Lonsec as of</w:t>
      </w:r>
      <w:r>
        <w:rPr>
          <w:sz w:val="18"/>
        </w:rPr>
        <w:t xml:space="preserve"> 30</w:t>
      </w:r>
      <w:r w:rsidRPr="00BB456F">
        <w:rPr>
          <w:sz w:val="18"/>
          <w:vertAlign w:val="superscript"/>
        </w:rPr>
        <w:t>th</w:t>
      </w:r>
      <w:r>
        <w:rPr>
          <w:sz w:val="18"/>
        </w:rPr>
        <w:t xml:space="preserve"> November 2024</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4B011931"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89317F">
        <w:rPr>
          <w:b/>
          <w:bCs/>
        </w:rPr>
        <w:t xml:space="preserve">, employment </w:t>
      </w:r>
      <w:r w:rsidR="003C5801" w:rsidRPr="003C5801">
        <w:t xml:space="preserve">and the </w:t>
      </w:r>
      <w:r w:rsidR="00BB456F">
        <w:t>momentum</w:t>
      </w:r>
      <w:r w:rsidR="005738C3" w:rsidRPr="005A428D">
        <w:rPr>
          <w:b/>
          <w:bCs/>
        </w:rPr>
        <w:t xml:space="preserve"> </w:t>
      </w:r>
      <w:r w:rsidR="005738C3" w:rsidRPr="005738C3">
        <w:rPr>
          <w:b/>
          <w:bCs/>
        </w:rPr>
        <w:t xml:space="preserve">of </w:t>
      </w:r>
      <w:r w:rsidR="005738C3">
        <w:rPr>
          <w:b/>
          <w:bCs/>
        </w:rPr>
        <w:t xml:space="preserve">interest rate </w:t>
      </w:r>
      <w:r w:rsidR="005738C3" w:rsidRPr="005738C3">
        <w:rPr>
          <w:b/>
          <w:bCs/>
        </w:rPr>
        <w:t>easing</w:t>
      </w:r>
      <w:r w:rsidR="005738C3">
        <w:t xml:space="preserve"> for </w:t>
      </w:r>
      <w:r w:rsidR="003C5801" w:rsidRPr="003C5801">
        <w:t>Central Banks to</w:t>
      </w:r>
      <w:r w:rsidR="00C60EEF">
        <w:t xml:space="preserve"> look at </w:t>
      </w:r>
      <w:r w:rsidR="005738C3">
        <w:t>ov</w:t>
      </w:r>
      <w:r w:rsidR="00C60EEF">
        <w:t xml:space="preserve">er the longer </w:t>
      </w:r>
      <w:r w:rsidR="004273DE">
        <w:t>time</w:t>
      </w:r>
      <w:r w:rsidR="00C60EEF">
        <w:t xml:space="preserve"> </w:t>
      </w:r>
      <w:r w:rsidR="00937E69">
        <w:t xml:space="preserve">horizon </w:t>
      </w:r>
      <w:r w:rsidR="00C60EEF">
        <w:t xml:space="preserve">should inflation data continue to drift lower. </w:t>
      </w:r>
      <w:r w:rsidR="007343AC">
        <w:t>Unhedged g</w:t>
      </w:r>
      <w:r w:rsidR="00557108">
        <w:t xml:space="preserve">lobal shares </w:t>
      </w:r>
      <w:r w:rsidR="005738C3">
        <w:t xml:space="preserve">had returns </w:t>
      </w:r>
      <w:r w:rsidR="00FD54AF">
        <w:t>enhanced</w:t>
      </w:r>
      <w:r w:rsidR="00382D5C">
        <w:t xml:space="preserve"> by a </w:t>
      </w:r>
      <w:r w:rsidR="00755C0C">
        <w:t>weak</w:t>
      </w:r>
      <w:r w:rsidR="00382D5C">
        <w:t>en</w:t>
      </w:r>
      <w:r w:rsidR="005738C3">
        <w:t>ing</w:t>
      </w:r>
      <w:r w:rsidR="004B2806">
        <w:t xml:space="preserve"> </w:t>
      </w:r>
      <w:r w:rsidR="00557108">
        <w:t>USD/AUD (0.</w:t>
      </w:r>
      <w:r w:rsidR="00382D5C">
        <w:t>6</w:t>
      </w:r>
      <w:r w:rsidR="00755C0C">
        <w:t>5</w:t>
      </w:r>
      <w:r w:rsidR="00BB456F">
        <w:t>17</w:t>
      </w:r>
      <w:r w:rsidR="005738C3">
        <w:t xml:space="preserve"> </w:t>
      </w:r>
      <w:r w:rsidR="005A428D">
        <w:t>from</w:t>
      </w:r>
      <w:r w:rsidR="00557108">
        <w:t xml:space="preserve"> 0.6</w:t>
      </w:r>
      <w:r w:rsidR="00BB456F">
        <w:t>569</w:t>
      </w:r>
      <w:r w:rsidR="00557108">
        <w:t xml:space="preserve">) which had </w:t>
      </w:r>
      <w:r w:rsidR="0083662A">
        <w:t>a</w:t>
      </w:r>
      <w:r w:rsidR="00557108">
        <w:t xml:space="preserve"> </w:t>
      </w:r>
      <w:r w:rsidR="00755C0C" w:rsidRPr="00755C0C">
        <w:rPr>
          <w:b/>
          <w:bCs/>
        </w:rPr>
        <w:t>posi</w:t>
      </w:r>
      <w:r w:rsidR="00382D5C" w:rsidRPr="00755C0C">
        <w:rPr>
          <w:b/>
          <w:bCs/>
        </w:rPr>
        <w:t>ti</w:t>
      </w:r>
      <w:r w:rsidR="00382D5C" w:rsidRPr="00AE1347">
        <w:rPr>
          <w:b/>
          <w:bCs/>
        </w:rPr>
        <w:t>ve</w:t>
      </w:r>
      <w:r w:rsidR="00557108" w:rsidRPr="00AE1347">
        <w:rPr>
          <w:b/>
          <w:bCs/>
        </w:rPr>
        <w:t xml:space="preserve"> impact of </w:t>
      </w:r>
      <w:r w:rsidR="00F65F3F" w:rsidRPr="00AE1347">
        <w:rPr>
          <w:b/>
          <w:bCs/>
        </w:rPr>
        <w:t>(</w:t>
      </w:r>
      <w:r w:rsidR="00755C0C">
        <w:rPr>
          <w:b/>
          <w:bCs/>
        </w:rPr>
        <w:t>+</w:t>
      </w:r>
      <w:r w:rsidR="00BB456F">
        <w:rPr>
          <w:b/>
          <w:bCs/>
        </w:rPr>
        <w:t>0.79</w:t>
      </w:r>
      <w:r w:rsidR="00F65F3F" w:rsidRPr="00AE1347">
        <w:rPr>
          <w:b/>
          <w:bCs/>
        </w:rPr>
        <w:t xml:space="preserve">%) </w:t>
      </w:r>
      <w:r w:rsidR="0005073D" w:rsidRPr="00AE1347">
        <w:rPr>
          <w:b/>
          <w:bCs/>
        </w:rPr>
        <w:t>i</w:t>
      </w:r>
      <w:r w:rsidR="00557108" w:rsidRPr="00AE1347">
        <w:rPr>
          <w:b/>
          <w:bCs/>
        </w:rPr>
        <w:t xml:space="preserve">n </w:t>
      </w:r>
      <w:r w:rsidR="001D6939" w:rsidRPr="00AE1347">
        <w:rPr>
          <w:b/>
          <w:bCs/>
        </w:rPr>
        <w:t xml:space="preserve">AUD </w:t>
      </w:r>
      <w:r w:rsidR="00557108" w:rsidRPr="00AE1347">
        <w:rPr>
          <w:b/>
          <w:bCs/>
        </w:rPr>
        <w:t>returns</w:t>
      </w:r>
      <w:r w:rsidR="00557108">
        <w:t xml:space="preserve"> over the month</w:t>
      </w:r>
      <w:r w:rsidR="00EB2B42">
        <w:t xml:space="preserve"> for unhedged investors</w:t>
      </w:r>
      <w:r w:rsidR="00557108">
        <w:t>.</w:t>
      </w:r>
      <w:r w:rsidR="007B7DEB">
        <w:t xml:space="preserve"> </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6F04A3EE" w:rsidR="00317447" w:rsidRDefault="00755C0C" w:rsidP="00CC263B">
      <w:pPr>
        <w:jc w:val="center"/>
        <w:rPr>
          <w:sz w:val="18"/>
        </w:rPr>
      </w:pPr>
      <w:r w:rsidRPr="00755C0C">
        <w:rPr>
          <w:noProof/>
          <w:sz w:val="18"/>
        </w:rPr>
        <w:lastRenderedPageBreak/>
        <w:drawing>
          <wp:inline distT="0" distB="0" distL="0" distR="0" wp14:anchorId="76D58C93" wp14:editId="4B8601EC">
            <wp:extent cx="4648200" cy="3276600"/>
            <wp:effectExtent l="0" t="0" r="0" b="0"/>
            <wp:docPr id="14139530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35C7254D" w:rsidR="00CC263B" w:rsidRPr="00BE778B" w:rsidRDefault="00CC263B" w:rsidP="00CC263B">
      <w:pPr>
        <w:jc w:val="center"/>
        <w:rPr>
          <w:sz w:val="18"/>
        </w:rPr>
      </w:pPr>
      <w:r w:rsidRPr="00A70A09">
        <w:rPr>
          <w:sz w:val="18"/>
        </w:rPr>
        <w:t>Source data: Lonsec as of</w:t>
      </w:r>
      <w:r>
        <w:rPr>
          <w:sz w:val="18"/>
        </w:rPr>
        <w:t xml:space="preserve"> </w:t>
      </w:r>
      <w:r w:rsidR="00B437CB">
        <w:rPr>
          <w:sz w:val="18"/>
        </w:rPr>
        <w:t>3</w:t>
      </w:r>
      <w:r w:rsidR="00BB456F">
        <w:rPr>
          <w:sz w:val="18"/>
        </w:rPr>
        <w:t>0</w:t>
      </w:r>
      <w:r w:rsidR="00BB456F" w:rsidRPr="00BB456F">
        <w:rPr>
          <w:sz w:val="18"/>
          <w:vertAlign w:val="superscript"/>
        </w:rPr>
        <w:t>th</w:t>
      </w:r>
      <w:r w:rsidR="00BB456F">
        <w:rPr>
          <w:sz w:val="18"/>
        </w:rPr>
        <w:t xml:space="preserve"> November</w:t>
      </w:r>
      <w:r>
        <w:rPr>
          <w:sz w:val="18"/>
        </w:rPr>
        <w:t xml:space="preserve"> 202</w:t>
      </w:r>
      <w:r w:rsidR="004C5B3F">
        <w:rPr>
          <w:sz w:val="18"/>
        </w:rPr>
        <w:t>4</w:t>
      </w:r>
    </w:p>
    <w:p w14:paraId="114DA578" w14:textId="33AD4246"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755C0C">
        <w:t>+</w:t>
      </w:r>
      <w:r w:rsidR="00BB456F">
        <w:t>5.22</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755C0C">
        <w:t>+</w:t>
      </w:r>
      <w:r w:rsidR="00BB456F">
        <w:t>6.45</w:t>
      </w:r>
      <w:r w:rsidR="009E7EF6">
        <w:t>%)</w:t>
      </w:r>
      <w:r w:rsidR="00E51A06">
        <w:t xml:space="preserve">, </w:t>
      </w:r>
      <w:r w:rsidR="009E7EF6">
        <w:t>Asia ex Japan (</w:t>
      </w:r>
      <w:r w:rsidR="00BB456F">
        <w:t>-1.60</w:t>
      </w:r>
      <w:r w:rsidR="009E7EF6">
        <w:t>%)</w:t>
      </w:r>
      <w:r w:rsidR="00E51A06">
        <w:t>,</w:t>
      </w:r>
      <w:r w:rsidR="009E7EF6">
        <w:t xml:space="preserve"> Japan (</w:t>
      </w:r>
      <w:r w:rsidR="00BB456F">
        <w:t>+</w:t>
      </w:r>
      <w:r w:rsidR="00755C0C">
        <w:t>1.</w:t>
      </w:r>
      <w:r w:rsidR="00BB456F">
        <w:t>21</w:t>
      </w:r>
      <w:r w:rsidR="009E7EF6">
        <w:t>%)</w:t>
      </w:r>
      <w:r w:rsidR="00E51A06">
        <w:t>,</w:t>
      </w:r>
      <w:r w:rsidR="009E7EF6">
        <w:t xml:space="preserve"> the UK (</w:t>
      </w:r>
      <w:r w:rsidR="00755C0C">
        <w:t>+</w:t>
      </w:r>
      <w:r w:rsidR="00BB456F">
        <w:t>1.94</w:t>
      </w:r>
      <w:r w:rsidR="009E7EF6">
        <w:t>%)</w:t>
      </w:r>
      <w:r w:rsidR="00E51A06">
        <w:t>,</w:t>
      </w:r>
      <w:r w:rsidR="009E7EF6">
        <w:t xml:space="preserve"> Europe</w:t>
      </w:r>
      <w:r w:rsidR="00776C10">
        <w:t xml:space="preserve"> </w:t>
      </w:r>
      <w:r w:rsidR="00E51A06">
        <w:t>(</w:t>
      </w:r>
      <w:r w:rsidR="00111AF6">
        <w:t>-</w:t>
      </w:r>
      <w:r w:rsidR="00BB456F">
        <w:t>1.13</w:t>
      </w:r>
      <w:r w:rsidR="005909DA">
        <w:t>%</w:t>
      </w:r>
      <w:r w:rsidR="00E51A06">
        <w:t xml:space="preserve">) </w:t>
      </w:r>
      <w:r w:rsidR="00776C10">
        <w:t>and</w:t>
      </w:r>
      <w:r w:rsidR="009E7EF6">
        <w:t xml:space="preserve"> </w:t>
      </w:r>
      <w:r w:rsidR="00776C10">
        <w:t>the Emerging Markets</w:t>
      </w:r>
      <w:r w:rsidR="00E51A06">
        <w:t xml:space="preserve"> (</w:t>
      </w:r>
      <w:r w:rsidR="00BB456F">
        <w:t>-0.36</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43C32AE9" w14:textId="7DFC3BD3" w:rsidR="00752610" w:rsidRDefault="00802B2D" w:rsidP="00080677">
      <w:r>
        <w:t xml:space="preserve">Australian </w:t>
      </w:r>
      <w:r w:rsidR="00D019FE">
        <w:t xml:space="preserve">shares </w:t>
      </w:r>
      <w:r w:rsidR="00317447">
        <w:t xml:space="preserve">posted </w:t>
      </w:r>
      <w:r w:rsidR="00BB456F">
        <w:t>positive</w:t>
      </w:r>
      <w:r w:rsidR="009D2BC7">
        <w:t xml:space="preserve"> returns </w:t>
      </w:r>
      <w:r w:rsidR="00DA2BBC">
        <w:t xml:space="preserve">reflecting the </w:t>
      </w:r>
      <w:r w:rsidR="00BB456F">
        <w:t>market sentiment despite the i</w:t>
      </w:r>
      <w:r w:rsidR="00DA2BBC">
        <w:t xml:space="preserve">mpact of the </w:t>
      </w:r>
      <w:r w:rsidR="00BB456F">
        <w:t xml:space="preserve">soft </w:t>
      </w:r>
      <w:r w:rsidR="00755C0C">
        <w:t xml:space="preserve">interest rate </w:t>
      </w:r>
      <w:r w:rsidR="00BB456F">
        <w:t>environment</w:t>
      </w:r>
      <w:r w:rsidR="00755C0C">
        <w:t>.</w:t>
      </w:r>
      <w:r w:rsidR="00DA2BBC">
        <w:t xml:space="preserve"> </w:t>
      </w:r>
      <w:r w:rsidR="009D26B6">
        <w:t>Sh</w:t>
      </w:r>
      <w:r w:rsidR="00965252">
        <w:t xml:space="preserve">ares </w:t>
      </w:r>
      <w:r w:rsidR="00EF6467">
        <w:t>finished</w:t>
      </w:r>
      <w:r w:rsidR="009D26B6">
        <w:t xml:space="preserve"> </w:t>
      </w:r>
      <w:r w:rsidR="000E3566">
        <w:t>(</w:t>
      </w:r>
      <w:r w:rsidR="00E95AF9">
        <w:t>+3.79</w:t>
      </w:r>
      <w:r w:rsidR="000E3566">
        <w:t>%) for the month</w:t>
      </w:r>
      <w:r w:rsidR="0089710F">
        <w:t xml:space="preserve"> and (</w:t>
      </w:r>
      <w:r w:rsidR="00AE1347">
        <w:t>+</w:t>
      </w:r>
      <w:r w:rsidR="00E95AF9">
        <w:t>5.47</w:t>
      </w:r>
      <w:r w:rsidR="0089710F">
        <w:t>%) over the last three months</w:t>
      </w:r>
      <w:r w:rsidR="00992554">
        <w:t>.</w:t>
      </w:r>
      <w:r w:rsidR="000E3566">
        <w:t xml:space="preserve"> </w:t>
      </w:r>
    </w:p>
    <w:p w14:paraId="6D122B4F" w14:textId="0D4FA6EB" w:rsidR="00D96147" w:rsidRDefault="00992554" w:rsidP="00080677">
      <w:r>
        <w:t>The focus for investors was</w:t>
      </w:r>
      <w:r w:rsidR="00F02508">
        <w:t>:</w:t>
      </w:r>
    </w:p>
    <w:p w14:paraId="717593C6" w14:textId="77777777" w:rsidR="009D2BC7" w:rsidRPr="009D2BC7" w:rsidRDefault="009D2BC7" w:rsidP="003C40F3">
      <w:pPr>
        <w:pStyle w:val="ListParagraph"/>
        <w:numPr>
          <w:ilvl w:val="0"/>
          <w:numId w:val="7"/>
        </w:numPr>
      </w:pPr>
      <w:r w:rsidRPr="009D2BC7">
        <w:rPr>
          <w:b/>
          <w:bCs/>
        </w:rPr>
        <w:t>Cost of living expenses</w:t>
      </w:r>
      <w:r w:rsidRPr="009D2BC7">
        <w:t xml:space="preserve"> and the impact on consumer spending.</w:t>
      </w:r>
    </w:p>
    <w:p w14:paraId="46B2FCA7" w14:textId="3DD4E7E2" w:rsidR="009D2BC7" w:rsidRPr="00AE1347" w:rsidRDefault="00AE1347" w:rsidP="003C40F3">
      <w:pPr>
        <w:pStyle w:val="ListParagraph"/>
        <w:numPr>
          <w:ilvl w:val="0"/>
          <w:numId w:val="7"/>
        </w:numPr>
      </w:pPr>
      <w:r w:rsidRPr="00AE1347">
        <w:rPr>
          <w:b/>
          <w:bCs/>
        </w:rPr>
        <w:t>Commodity Prices</w:t>
      </w:r>
      <w:r w:rsidRPr="00AE1347">
        <w:t xml:space="preserve"> and their impact on </w:t>
      </w:r>
      <w:r>
        <w:t>c</w:t>
      </w:r>
      <w:r w:rsidR="009D2BC7" w:rsidRPr="00AE1347">
        <w:t xml:space="preserve">ompany profits </w:t>
      </w:r>
      <w:r w:rsidR="001F41D2" w:rsidRPr="00AE1347">
        <w:t>and forward earnings guidance</w:t>
      </w:r>
      <w:r w:rsidR="009D2BC7" w:rsidRPr="00AE1347">
        <w:t>.</w:t>
      </w:r>
    </w:p>
    <w:p w14:paraId="5BBF831F" w14:textId="0951F238" w:rsidR="009D26B6" w:rsidRPr="009D2BC7" w:rsidRDefault="009D26B6" w:rsidP="003C40F3">
      <w:pPr>
        <w:pStyle w:val="ListParagraph"/>
        <w:numPr>
          <w:ilvl w:val="0"/>
          <w:numId w:val="7"/>
        </w:numPr>
      </w:pPr>
      <w:r w:rsidRPr="009D2BC7">
        <w:rPr>
          <w:b/>
          <w:bCs/>
        </w:rPr>
        <w:t>Consumer confidence</w:t>
      </w:r>
      <w:r w:rsidRPr="009D2BC7">
        <w:t xml:space="preserve"> post the </w:t>
      </w:r>
      <w:r w:rsidR="004F220F">
        <w:t xml:space="preserve">offshore </w:t>
      </w:r>
      <w:r w:rsidRPr="009D2BC7">
        <w:t>interest rate</w:t>
      </w:r>
      <w:r w:rsidR="004F220F">
        <w:t xml:space="preserve"> changes</w:t>
      </w:r>
      <w:r w:rsidR="00AE1347">
        <w:t xml:space="preserve"> and inflation impacts</w:t>
      </w:r>
      <w:r w:rsidRPr="009D2BC7">
        <w:t>.</w:t>
      </w:r>
    </w:p>
    <w:p w14:paraId="17FE682E" w14:textId="64819F0C" w:rsidR="00EE74FA" w:rsidRDefault="00EE74FA" w:rsidP="003C40F3">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3FE9A2B8" w:rsidR="002D1C33" w:rsidRDefault="00EE74FA" w:rsidP="003C40F3">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41F529C9" w14:textId="77777777" w:rsidR="00AF697A" w:rsidRDefault="0089710F" w:rsidP="00AF697A">
      <w:r>
        <w:t>C</w:t>
      </w:r>
      <w:r w:rsidR="00E05A34">
        <w:t>om</w:t>
      </w:r>
      <w:r w:rsidR="009E7EF6" w:rsidRPr="00F90325">
        <w:t xml:space="preserve">modity markets </w:t>
      </w:r>
      <w:r w:rsidR="00457450">
        <w:t>ended</w:t>
      </w:r>
      <w:r w:rsidR="00E32E30">
        <w:t xml:space="preserve"> </w:t>
      </w:r>
      <w:r w:rsidR="009F0A63">
        <w:t>mixed</w:t>
      </w:r>
      <w:r w:rsidR="00FC5F13">
        <w:t xml:space="preserve"> </w:t>
      </w:r>
      <w:r w:rsidR="0056303E">
        <w:t xml:space="preserve">with </w:t>
      </w:r>
      <w:r w:rsidR="009E7EF6" w:rsidRPr="00F90325">
        <w:t>Iron Ore clos</w:t>
      </w:r>
      <w:r w:rsidR="00040E36">
        <w:t>ing</w:t>
      </w:r>
      <w:r w:rsidR="009E7EF6" w:rsidRPr="00F90325">
        <w:t xml:space="preserve"> at US$</w:t>
      </w:r>
      <w:r w:rsidR="009F0A63">
        <w:t>10</w:t>
      </w:r>
      <w:r w:rsidR="00E95AF9">
        <w:t>2</w:t>
      </w:r>
      <w:r w:rsidR="009F0A63">
        <w:t>.</w:t>
      </w:r>
      <w:r w:rsidR="00E95AF9">
        <w:t>44</w:t>
      </w:r>
      <w:r w:rsidR="009E7EF6" w:rsidRPr="00F90325">
        <w:t xml:space="preserve"> </w:t>
      </w:r>
      <w:r w:rsidR="006D3802">
        <w:t xml:space="preserve">per tonne </w:t>
      </w:r>
      <w:r w:rsidR="00910A84">
        <w:t xml:space="preserve">at the end of </w:t>
      </w:r>
      <w:r w:rsidR="00E95AF9">
        <w:t>November</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E95AF9">
        <w:t>loss of</w:t>
      </w:r>
      <w:r w:rsidR="00A85A05" w:rsidRPr="00F90325">
        <w:t xml:space="preserve"> (</w:t>
      </w:r>
      <w:r w:rsidR="00E95AF9">
        <w:t>-1.29</w:t>
      </w:r>
      <w:r w:rsidR="00A85A05" w:rsidRPr="00F90325">
        <w:t xml:space="preserve">%) </w:t>
      </w:r>
      <w:r w:rsidR="00FC5F13">
        <w:t xml:space="preserve">and </w:t>
      </w:r>
      <w:r w:rsidR="00E95AF9">
        <w:t>gains</w:t>
      </w:r>
      <w:r w:rsidR="00C44EA9">
        <w:t xml:space="preserve"> of </w:t>
      </w:r>
      <w:r w:rsidR="009E7EF6" w:rsidRPr="00F90325">
        <w:t>(</w:t>
      </w:r>
      <w:r w:rsidR="00E95AF9">
        <w:t xml:space="preserve">+3.79%) </w:t>
      </w:r>
      <w:r w:rsidR="009E7EF6" w:rsidRPr="00F90325">
        <w:t xml:space="preserve">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E95AF9">
        <w:t>low</w:t>
      </w:r>
      <w:r w:rsidR="009F0A63">
        <w:t>er</w:t>
      </w:r>
      <w:r w:rsidR="008F7018" w:rsidRPr="00F90325">
        <w:t xml:space="preserve"> at US$</w:t>
      </w:r>
      <w:r w:rsidR="00CC3052">
        <w:t>6</w:t>
      </w:r>
      <w:r w:rsidR="00E95AF9">
        <w:t>8</w:t>
      </w:r>
      <w:r w:rsidR="009F0A63">
        <w:t>.</w:t>
      </w:r>
      <w:r w:rsidR="00E95AF9">
        <w:t>00</w:t>
      </w:r>
      <w:r w:rsidR="008F7018" w:rsidRPr="00F90325">
        <w:t xml:space="preserve"> </w:t>
      </w:r>
      <w:r w:rsidR="008F7018">
        <w:t xml:space="preserve">a barrel </w:t>
      </w:r>
      <w:r w:rsidR="008F7018" w:rsidRPr="00F90325">
        <w:t>at the end o</w:t>
      </w:r>
      <w:r w:rsidR="008F7018">
        <w:t>f</w:t>
      </w:r>
      <w:r w:rsidR="008F7018" w:rsidRPr="00F90325">
        <w:t xml:space="preserve"> </w:t>
      </w:r>
      <w:r w:rsidR="00E95AF9">
        <w:t>Novem</w:t>
      </w:r>
      <w:r w:rsidR="009F0A63">
        <w:t>b</w:t>
      </w:r>
      <w:r w:rsidR="00CC3052">
        <w:t>er</w:t>
      </w:r>
      <w:r w:rsidR="00AA627D">
        <w:t xml:space="preserve"> 202</w:t>
      </w:r>
      <w:r w:rsidR="006C68B8">
        <w:t>4</w:t>
      </w:r>
      <w:r w:rsidR="008F7018" w:rsidRPr="00F90325">
        <w:t xml:space="preserve"> </w:t>
      </w:r>
      <w:r w:rsidR="008F7018">
        <w:t>resulting in</w:t>
      </w:r>
      <w:r w:rsidR="008F7018" w:rsidRPr="00F90325">
        <w:t xml:space="preserve"> </w:t>
      </w:r>
      <w:r w:rsidR="00AF697A">
        <w:t>losses</w:t>
      </w:r>
      <w:r w:rsidR="006C68B8">
        <w:t xml:space="preserve"> of</w:t>
      </w:r>
      <w:r w:rsidR="008F7018" w:rsidRPr="00F90325">
        <w:t xml:space="preserve"> (</w:t>
      </w:r>
      <w:r w:rsidR="00AF697A">
        <w:t>-1.82</w:t>
      </w:r>
      <w:r w:rsidR="00E77097">
        <w:t>%</w:t>
      </w:r>
      <w:r w:rsidR="008F7018" w:rsidRPr="00F90325">
        <w:t xml:space="preserve">) for the month </w:t>
      </w:r>
      <w:r w:rsidR="00107972">
        <w:t xml:space="preserve">and </w:t>
      </w:r>
      <w:r w:rsidR="00EA6C58">
        <w:t>down</w:t>
      </w:r>
      <w:r w:rsidR="00F93701">
        <w:t xml:space="preserve"> </w:t>
      </w:r>
      <w:r w:rsidR="008F7018" w:rsidRPr="00F90325">
        <w:t>(</w:t>
      </w:r>
      <w:r w:rsidR="00AE1347">
        <w:t>-</w:t>
      </w:r>
      <w:r w:rsidR="00AF697A">
        <w:t>7.55</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127F8A9B" w:rsidR="009E7EF6" w:rsidRPr="00AF697A" w:rsidRDefault="009E7EF6" w:rsidP="00AF697A">
      <w:pPr>
        <w:rPr>
          <w:b/>
          <w:bCs/>
          <w:iCs/>
        </w:rPr>
      </w:pPr>
      <w:r w:rsidRPr="00AF697A">
        <w:rPr>
          <w:b/>
          <w:bCs/>
        </w:rPr>
        <w:lastRenderedPageBreak/>
        <w:t>Australian Industry Returns</w:t>
      </w:r>
      <w:r w:rsidRPr="00AF697A">
        <w:rPr>
          <w:b/>
          <w:bCs/>
        </w:rPr>
        <w:tab/>
      </w:r>
    </w:p>
    <w:p w14:paraId="1130FA96" w14:textId="5117FA3D"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AF697A">
        <w:t>November</w:t>
      </w:r>
      <w:r w:rsidR="00AA627D">
        <w:t xml:space="preserve"> 202</w:t>
      </w:r>
      <w:r w:rsidR="00053887">
        <w:t>4</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1744F24C" w14:textId="04A67FAF" w:rsidR="00AF697A" w:rsidRDefault="00AF697A" w:rsidP="00193344">
      <w:pPr>
        <w:spacing w:before="120" w:after="120"/>
        <w:jc w:val="center"/>
      </w:pPr>
      <w:r w:rsidRPr="00AF697A">
        <w:rPr>
          <w:noProof/>
        </w:rPr>
        <w:drawing>
          <wp:inline distT="0" distB="0" distL="0" distR="0" wp14:anchorId="0C5564F6" wp14:editId="2825D21F">
            <wp:extent cx="3189293" cy="2865120"/>
            <wp:effectExtent l="0" t="0" r="0" b="0"/>
            <wp:docPr id="14851064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3949" cy="2878287"/>
                    </a:xfrm>
                    <a:prstGeom prst="rect">
                      <a:avLst/>
                    </a:prstGeom>
                    <a:noFill/>
                    <a:ln>
                      <a:noFill/>
                    </a:ln>
                  </pic:spPr>
                </pic:pic>
              </a:graphicData>
            </a:graphic>
          </wp:inline>
        </w:drawing>
      </w:r>
    </w:p>
    <w:p w14:paraId="70580A2B" w14:textId="77777777" w:rsidR="00193344" w:rsidRPr="00BE778B" w:rsidRDefault="00193344" w:rsidP="00193344">
      <w:pPr>
        <w:jc w:val="center"/>
        <w:rPr>
          <w:sz w:val="18"/>
        </w:rPr>
      </w:pPr>
      <w:r w:rsidRPr="00A70A09">
        <w:rPr>
          <w:sz w:val="18"/>
        </w:rPr>
        <w:t>Source data: Lonsec as of</w:t>
      </w:r>
      <w:r>
        <w:rPr>
          <w:sz w:val="18"/>
        </w:rPr>
        <w:t xml:space="preserve"> 30</w:t>
      </w:r>
      <w:r w:rsidRPr="00BB456F">
        <w:rPr>
          <w:sz w:val="18"/>
          <w:vertAlign w:val="superscript"/>
        </w:rPr>
        <w:t>th</w:t>
      </w:r>
      <w:r>
        <w:rPr>
          <w:sz w:val="18"/>
        </w:rPr>
        <w:t xml:space="preserve"> November 2024</w:t>
      </w:r>
    </w:p>
    <w:p w14:paraId="58FD09A7" w14:textId="31E52125" w:rsidR="009E7EF6" w:rsidRDefault="00AF697A" w:rsidP="009E7EF6">
      <w:pPr>
        <w:spacing w:before="120" w:after="120"/>
      </w:pPr>
      <w:r>
        <w:rPr>
          <w:noProof/>
        </w:rPr>
        <w:t xml:space="preserve">Information Technology aws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rsidR="009E7EF6">
        <w:t>(</w:t>
      </w:r>
      <w:r w:rsidR="00D46064">
        <w:t>+</w:t>
      </w:r>
      <w:r>
        <w:t>10.45</w:t>
      </w:r>
      <w:r w:rsidR="009E7EF6">
        <w:t>%)</w:t>
      </w:r>
      <w:r w:rsidR="00757323">
        <w:t>.</w:t>
      </w:r>
    </w:p>
    <w:p w14:paraId="1BD9D657" w14:textId="0FE0EA4E" w:rsidR="00BF751B" w:rsidRDefault="000566FA" w:rsidP="00BF751B">
      <w:pPr>
        <w:spacing w:before="120" w:after="120"/>
      </w:pPr>
      <w:r>
        <w:t>Materials</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53887">
        <w:t>-</w:t>
      </w:r>
      <w:r w:rsidR="00AF697A">
        <w:t>2.64</w:t>
      </w:r>
      <w:r w:rsidR="00BF751B">
        <w:t>%</w:t>
      </w:r>
      <w:r w:rsidR="004A252E">
        <w:t>)</w:t>
      </w:r>
      <w:r w:rsidR="00EE6DB0">
        <w:t xml:space="preserve"> for the month</w:t>
      </w:r>
      <w:r w:rsidR="00EF3062">
        <w:t xml:space="preserve">. </w:t>
      </w:r>
    </w:p>
    <w:p w14:paraId="6051FE95" w14:textId="1003A6D1" w:rsidR="006C68B8" w:rsidRDefault="00AF697A" w:rsidP="001F41D2">
      <w:pPr>
        <w:spacing w:before="120" w:after="120"/>
        <w:jc w:val="center"/>
      </w:pPr>
      <w:r w:rsidRPr="00AF697A">
        <w:rPr>
          <w:noProof/>
        </w:rPr>
        <w:drawing>
          <wp:inline distT="0" distB="0" distL="0" distR="0" wp14:anchorId="756E725A" wp14:editId="212F8968">
            <wp:extent cx="3912583" cy="2420112"/>
            <wp:effectExtent l="0" t="0" r="0" b="0"/>
            <wp:docPr id="10661373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3267" cy="2426721"/>
                    </a:xfrm>
                    <a:prstGeom prst="rect">
                      <a:avLst/>
                    </a:prstGeom>
                    <a:noFill/>
                    <a:ln>
                      <a:noFill/>
                    </a:ln>
                  </pic:spPr>
                </pic:pic>
              </a:graphicData>
            </a:graphic>
          </wp:inline>
        </w:drawing>
      </w:r>
    </w:p>
    <w:p w14:paraId="7EE381D5" w14:textId="5051B919"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E67B5F">
        <w:rPr>
          <w:sz w:val="18"/>
        </w:rPr>
        <w:t>3</w:t>
      </w:r>
      <w:r w:rsidR="00EE2CDB">
        <w:rPr>
          <w:sz w:val="18"/>
        </w:rPr>
        <w:t>0</w:t>
      </w:r>
      <w:r w:rsidR="00EE2CDB" w:rsidRPr="00EE2CDB">
        <w:rPr>
          <w:sz w:val="18"/>
          <w:vertAlign w:val="superscript"/>
        </w:rPr>
        <w:t>th</w:t>
      </w:r>
      <w:r w:rsidR="00EE2CDB">
        <w:rPr>
          <w:sz w:val="18"/>
        </w:rPr>
        <w:t xml:space="preserve"> November</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Debt Market Returns</w:t>
      </w:r>
    </w:p>
    <w:p w14:paraId="26CC03CE" w14:textId="66D2F4A9" w:rsidR="00585652" w:rsidRDefault="009E7EF6" w:rsidP="009E7EF6">
      <w:pPr>
        <w:spacing w:before="120" w:after="120"/>
      </w:pPr>
      <w:r>
        <w:t xml:space="preserve">Bonds and Fixed Interest markets </w:t>
      </w:r>
      <w:r w:rsidR="00F43A7D">
        <w:t>finished</w:t>
      </w:r>
      <w:r w:rsidR="00C175CC">
        <w:t xml:space="preserve"> </w:t>
      </w:r>
      <w:r w:rsidR="001846E3">
        <w:t>in</w:t>
      </w:r>
      <w:r w:rsidR="00B743B6">
        <w:t xml:space="preserve"> </w:t>
      </w:r>
      <w:r w:rsidR="00B743B6" w:rsidRPr="00B743B6">
        <w:rPr>
          <w:b/>
          <w:bCs/>
        </w:rPr>
        <w:t>posit</w:t>
      </w:r>
      <w:r w:rsidR="002E3192" w:rsidRPr="00B743B6">
        <w:rPr>
          <w:b/>
          <w:bCs/>
        </w:rPr>
        <w:t>ive</w:t>
      </w:r>
      <w:r w:rsidR="001846E3" w:rsidRPr="00B743B6">
        <w:rPr>
          <w:b/>
          <w:bCs/>
        </w:rPr>
        <w:t xml:space="preserve"> </w:t>
      </w:r>
      <w:r w:rsidR="001846E3" w:rsidRPr="0097756C">
        <w:rPr>
          <w:b/>
          <w:bCs/>
        </w:rPr>
        <w:t>territory</w:t>
      </w:r>
      <w:r w:rsidR="001846E3">
        <w:t xml:space="preserve"> </w:t>
      </w:r>
      <w:r w:rsidR="00A52972">
        <w:t xml:space="preserve">as </w:t>
      </w:r>
      <w:r w:rsidR="008E3CF5">
        <w:t xml:space="preserve">global bond </w:t>
      </w:r>
      <w:r w:rsidR="00C175CC">
        <w:t>pr</w:t>
      </w:r>
      <w:r w:rsidR="002710BC">
        <w:t>ice</w:t>
      </w:r>
      <w:r w:rsidR="00A52972">
        <w:t xml:space="preserve">s </w:t>
      </w:r>
      <w:r w:rsidR="00680BB2">
        <w:t xml:space="preserve">pushed </w:t>
      </w:r>
      <w:r w:rsidR="00B743B6">
        <w:t>higher</w:t>
      </w:r>
      <w:r w:rsidR="002710BC">
        <w:t xml:space="preserve"> (</w:t>
      </w:r>
      <w:r w:rsidR="00B743B6">
        <w:t>down</w:t>
      </w:r>
      <w:r w:rsidR="00E54896">
        <w:t xml:space="preserve"> </w:t>
      </w:r>
      <w:r w:rsidR="003C26EF">
        <w:t xml:space="preserve">in </w:t>
      </w:r>
      <w:r w:rsidR="002710BC">
        <w:t xml:space="preserve">yield) </w:t>
      </w:r>
      <w:r w:rsidR="00446119">
        <w:t xml:space="preserve">following on the trend established last month when </w:t>
      </w:r>
      <w:r w:rsidR="009C7E09">
        <w:t>C</w:t>
      </w:r>
      <w:r w:rsidR="00A52972">
        <w:t xml:space="preserve">entral </w:t>
      </w:r>
      <w:r w:rsidR="009C7E09">
        <w:t>B</w:t>
      </w:r>
      <w:r w:rsidR="00A52972">
        <w:t>ank</w:t>
      </w:r>
      <w:r w:rsidR="00ED2653">
        <w:t xml:space="preserve">s </w:t>
      </w:r>
      <w:r w:rsidR="00343D9A">
        <w:t>began to ease their target cash rates</w:t>
      </w:r>
      <w:r w:rsidR="00B743B6">
        <w:t>.</w:t>
      </w:r>
      <w:r w:rsidR="00343D9A">
        <w:t xml:space="preserve"> </w:t>
      </w:r>
      <w:r w:rsidR="002E3192">
        <w:t>N</w:t>
      </w:r>
      <w:r w:rsidR="00343D9A">
        <w:t xml:space="preserve">ot all economies are experiencing inflation falls and remain focussed on the </w:t>
      </w:r>
      <w:r w:rsidR="00C02439">
        <w:t>longer-term</w:t>
      </w:r>
      <w:r w:rsidR="006820B4">
        <w:t xml:space="preserve"> </w:t>
      </w:r>
      <w:r w:rsidR="00C02439">
        <w:t xml:space="preserve">for </w:t>
      </w:r>
      <w:r w:rsidR="00343D9A">
        <w:t xml:space="preserve">both inflation and </w:t>
      </w:r>
      <w:r w:rsidR="00C02439">
        <w:t xml:space="preserve">cash rates to come down. </w:t>
      </w:r>
      <w:r w:rsidR="002E3192">
        <w:t xml:space="preserve">Australian </w:t>
      </w:r>
      <w:r w:rsidR="00A02F18">
        <w:t>bonds have been</w:t>
      </w:r>
      <w:r w:rsidR="00CE0DD6">
        <w:t xml:space="preserve"> </w:t>
      </w:r>
      <w:r w:rsidR="002E3192">
        <w:t xml:space="preserve">caught up in the </w:t>
      </w:r>
      <w:r w:rsidR="00B743B6">
        <w:t xml:space="preserve">post US election </w:t>
      </w:r>
      <w:r w:rsidR="002E3192">
        <w:t xml:space="preserve">sell-off </w:t>
      </w:r>
      <w:r w:rsidR="00B743B6">
        <w:t xml:space="preserve">however, the market settled and the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B743B6" w:rsidRPr="00B743B6">
        <w:rPr>
          <w:b/>
          <w:bCs/>
        </w:rPr>
        <w:t>3.92</w:t>
      </w:r>
      <w:r w:rsidR="0020369D" w:rsidRPr="00B743B6">
        <w:rPr>
          <w:b/>
          <w:bCs/>
        </w:rPr>
        <w:t xml:space="preserve">% </w:t>
      </w:r>
      <w:r w:rsidR="00C23855">
        <w:t xml:space="preserve">on the </w:t>
      </w:r>
      <w:r w:rsidR="00B743B6">
        <w:t>17</w:t>
      </w:r>
      <w:r w:rsidR="00B743B6">
        <w:rPr>
          <w:vertAlign w:val="superscript"/>
        </w:rPr>
        <w:t xml:space="preserve">th of </w:t>
      </w:r>
      <w:r w:rsidR="00B743B6">
        <w:t>Decem</w:t>
      </w:r>
      <w:r w:rsidR="002E3192">
        <w:t>ber</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CE0DD6">
        <w:rPr>
          <w:b/>
          <w:bCs/>
        </w:rPr>
        <w:t>4</w:t>
      </w:r>
      <w:r w:rsidR="00B743B6">
        <w:rPr>
          <w:b/>
          <w:bCs/>
        </w:rPr>
        <w:t>.334</w:t>
      </w:r>
      <w:r w:rsidR="00526D92" w:rsidRPr="008229BA">
        <w:rPr>
          <w:b/>
          <w:bCs/>
        </w:rPr>
        <w:t>%</w:t>
      </w:r>
      <w:r w:rsidR="00867FD2" w:rsidRPr="008229BA">
        <w:rPr>
          <w:b/>
          <w:bCs/>
        </w:rPr>
        <w:t>.</w:t>
      </w:r>
      <w:r w:rsidR="00712A94">
        <w:t xml:space="preserve"> </w:t>
      </w:r>
    </w:p>
    <w:p w14:paraId="3C549984" w14:textId="21E85DDB" w:rsidR="00894706" w:rsidRDefault="00ED23CC" w:rsidP="009E7EF6">
      <w:pPr>
        <w:spacing w:before="120" w:after="120"/>
      </w:pPr>
      <w:r>
        <w:t xml:space="preserve">Global Bonds </w:t>
      </w:r>
      <w:r w:rsidR="00C51753">
        <w:t xml:space="preserve">ended </w:t>
      </w:r>
      <w:r w:rsidR="00A66805">
        <w:t>up</w:t>
      </w:r>
      <w:r w:rsidR="00BE2C9A">
        <w:t xml:space="preserve"> </w:t>
      </w:r>
      <w:r>
        <w:t>(</w:t>
      </w:r>
      <w:r w:rsidR="00A66805">
        <w:t>+1.18</w:t>
      </w:r>
      <w:r w:rsidR="00867FD2">
        <w:t>%</w:t>
      </w:r>
      <w:r>
        <w:t>) and Australia</w:t>
      </w:r>
      <w:r w:rsidR="00037BFE">
        <w:t>n Bonds</w:t>
      </w:r>
      <w:r>
        <w:t xml:space="preserve"> end</w:t>
      </w:r>
      <w:r w:rsidR="002720B5">
        <w:t>ed</w:t>
      </w:r>
      <w:r>
        <w:t xml:space="preserve"> </w:t>
      </w:r>
      <w:r w:rsidR="00A66805">
        <w:t>up</w:t>
      </w:r>
      <w:r w:rsidR="00867FD2">
        <w:t xml:space="preserve"> </w:t>
      </w:r>
      <w:r>
        <w:t>(</w:t>
      </w:r>
      <w:r w:rsidR="00584462">
        <w:t>+</w:t>
      </w:r>
      <w:r w:rsidR="003E3E67">
        <w:t>1.</w:t>
      </w:r>
      <w:r w:rsidR="00A66805">
        <w:t>14</w:t>
      </w:r>
      <w:r w:rsidR="00A94C92">
        <w:t>%</w:t>
      </w:r>
      <w:r>
        <w:t>) for the month</w:t>
      </w:r>
      <w:r w:rsidR="00B6686A">
        <w:t xml:space="preserve"> of </w:t>
      </w:r>
      <w:r w:rsidR="00A66805">
        <w:t>Novem</w:t>
      </w:r>
      <w:r w:rsidR="003E3E67">
        <w:t>ber</w:t>
      </w:r>
      <w:r w:rsidR="002F59EA">
        <w:t xml:space="preserve"> </w:t>
      </w:r>
      <w:r w:rsidR="00AA627D">
        <w:t>202</w:t>
      </w:r>
      <w:r w:rsidR="00A24C96">
        <w:t>4</w:t>
      </w:r>
      <w:r w:rsidR="0049196F">
        <w:t xml:space="preserve"> </w:t>
      </w:r>
      <w:r w:rsidR="00037BFE">
        <w:t>and</w:t>
      </w:r>
      <w:r w:rsidR="0049196F">
        <w:t xml:space="preserve"> </w:t>
      </w:r>
      <w:r w:rsidR="00CE0DD6">
        <w:t>up</w:t>
      </w:r>
      <w:r w:rsidR="00763854">
        <w:t xml:space="preserve"> </w:t>
      </w:r>
      <w:r w:rsidR="0049196F">
        <w:t>(</w:t>
      </w:r>
      <w:r w:rsidR="004C033E">
        <w:t>+</w:t>
      </w:r>
      <w:r w:rsidR="003E3E67">
        <w:t>0.</w:t>
      </w:r>
      <w:r w:rsidR="00A66805">
        <w:t>60</w:t>
      </w:r>
      <w:r w:rsidR="0058031F">
        <w:t>%</w:t>
      </w:r>
      <w:r w:rsidR="0049196F">
        <w:t>) and</w:t>
      </w:r>
      <w:r w:rsidR="00AB090A">
        <w:t xml:space="preserve"> </w:t>
      </w:r>
      <w:r w:rsidR="0049196F">
        <w:t>(</w:t>
      </w:r>
      <w:r w:rsidR="003E3E67">
        <w:t>-0.</w:t>
      </w:r>
      <w:r w:rsidR="00A66805">
        <w:t>45</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7B481C09"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B8507E">
        <w:t>10</w:t>
      </w:r>
      <w:r w:rsidR="00A649C7" w:rsidRPr="003E3E67">
        <w:rPr>
          <w:vertAlign w:val="superscript"/>
        </w:rPr>
        <w:t>th of</w:t>
      </w:r>
      <w:r w:rsidR="003E3E67">
        <w:t xml:space="preserve"> </w:t>
      </w:r>
      <w:r w:rsidR="00B8507E">
        <w:t>Dec</w:t>
      </w:r>
      <w:r w:rsidR="003E3E67">
        <w:t>ember</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7C39D929" w14:textId="0FED54D8" w:rsidR="003E3E67" w:rsidRDefault="003E3E67" w:rsidP="003E3E67">
      <w:pPr>
        <w:spacing w:before="120" w:after="120"/>
        <w:ind w:left="720"/>
      </w:pPr>
      <w:r w:rsidRPr="00BC0D96">
        <w:rPr>
          <w:rFonts w:ascii="Calibri" w:hAnsi="Calibri" w:cs="Calibri"/>
          <w:i/>
          <w:iCs/>
          <w:color w:val="222222"/>
          <w:sz w:val="24"/>
          <w:szCs w:val="24"/>
          <w:shd w:val="clear" w:color="auto" w:fill="FFFFFF"/>
        </w:rPr>
        <w:t>“</w:t>
      </w:r>
      <w:r w:rsidRPr="00806984">
        <w:rPr>
          <w:rFonts w:ascii="Calibri" w:hAnsi="Calibri" w:cs="Calibri"/>
          <w:i/>
          <w:iCs/>
          <w:color w:val="222222"/>
          <w:sz w:val="24"/>
          <w:szCs w:val="24"/>
          <w:shd w:val="clear" w:color="auto" w:fill="FFFFFF"/>
        </w:rPr>
        <w:t>Sustainably returning inflation to target within a reasonable timeframe</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remains the Board’s highest priority. This is consistent with the RBA’s mandate for price stability</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and full employment. To date, longer term inflation expectations have been consistent with</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the inflation target, and it is important that this remains the case. While headline inflation has</w:t>
      </w:r>
      <w:r>
        <w:rPr>
          <w:rFonts w:ascii="Calibri" w:hAnsi="Calibri" w:cs="Calibri"/>
          <w:i/>
          <w:iCs/>
          <w:color w:val="222222"/>
          <w:sz w:val="24"/>
          <w:szCs w:val="24"/>
          <w:shd w:val="clear" w:color="auto" w:fill="FFFFFF"/>
        </w:rPr>
        <w:t xml:space="preserve"> </w:t>
      </w:r>
      <w:r w:rsidRPr="00806984">
        <w:rPr>
          <w:rFonts w:ascii="Calibri" w:hAnsi="Calibri" w:cs="Calibri"/>
          <w:i/>
          <w:iCs/>
          <w:color w:val="222222"/>
          <w:sz w:val="24"/>
          <w:szCs w:val="24"/>
          <w:shd w:val="clear" w:color="auto" w:fill="FFFFFF"/>
        </w:rPr>
        <w:t xml:space="preserve">declined substantially and will remain lower for a time, </w:t>
      </w:r>
      <w:r w:rsidRPr="00806984">
        <w:rPr>
          <w:rFonts w:ascii="Calibri" w:hAnsi="Calibri" w:cs="Calibri"/>
          <w:b/>
          <w:bCs/>
          <w:i/>
          <w:iCs/>
          <w:color w:val="222222"/>
          <w:sz w:val="24"/>
          <w:szCs w:val="24"/>
          <w:shd w:val="clear" w:color="auto" w:fill="FFFFFF"/>
        </w:rPr>
        <w:t>underlying inflation is more indicative of inflation momentum</w:t>
      </w:r>
      <w:r w:rsidRPr="00806984">
        <w:rPr>
          <w:rFonts w:ascii="Calibri" w:hAnsi="Calibri" w:cs="Calibri"/>
          <w:i/>
          <w:iCs/>
          <w:color w:val="222222"/>
          <w:sz w:val="24"/>
          <w:szCs w:val="24"/>
          <w:shd w:val="clear" w:color="auto" w:fill="FFFFFF"/>
        </w:rPr>
        <w:t xml:space="preserve">, and it remains too high. </w:t>
      </w:r>
      <w:r w:rsidR="00B8507E" w:rsidRPr="00B8507E">
        <w:rPr>
          <w:rFonts w:ascii="Calibri" w:hAnsi="Calibri" w:cs="Calibri"/>
          <w:i/>
          <w:iCs/>
          <w:color w:val="222222"/>
          <w:sz w:val="24"/>
          <w:szCs w:val="24"/>
          <w:shd w:val="clear" w:color="auto" w:fill="FFFFFF"/>
        </w:rPr>
        <w:t>The November SMP forecasts suggest that it will be some time yet before inflation is sustainably in the target range and approaching the midpoint. Recent data on inflation and economic conditions are still consistent with these forecasts, and the Board is gaining some confidence that inflation is moving sustainably towards target</w:t>
      </w:r>
      <w:r>
        <w:rPr>
          <w:rFonts w:ascii="Calibri" w:hAnsi="Calibri" w:cs="Calibri"/>
          <w:i/>
          <w:iCs/>
          <w:color w:val="222222"/>
          <w:sz w:val="24"/>
          <w:szCs w:val="24"/>
          <w:shd w:val="clear" w:color="auto" w:fill="FFFFFF"/>
        </w:rPr>
        <w:t>“</w:t>
      </w:r>
      <w:r w:rsidRPr="00806984">
        <w:rPr>
          <w:rFonts w:ascii="Calibri" w:hAnsi="Calibri" w:cs="Calibri"/>
          <w:i/>
          <w:iCs/>
          <w:color w:val="222222"/>
          <w:sz w:val="24"/>
          <w:szCs w:val="24"/>
          <w:shd w:val="clear" w:color="auto" w:fill="FFFFFF"/>
        </w:rPr>
        <w:t>.</w:t>
      </w:r>
    </w:p>
    <w:p w14:paraId="524CE830" w14:textId="0BB21DF4" w:rsidR="003E3E67" w:rsidRPr="007E048D" w:rsidRDefault="003E3E67" w:rsidP="003E3E67">
      <w:pPr>
        <w:spacing w:after="0" w:line="360" w:lineRule="auto"/>
        <w:ind w:left="720"/>
        <w:rPr>
          <w:rFonts w:ascii="Calibri" w:hAnsi="Calibri" w:cs="Calibri"/>
          <w:i/>
          <w:iCs/>
          <w:color w:val="222222"/>
          <w:shd w:val="clear" w:color="auto" w:fill="FFFFFF"/>
        </w:rPr>
      </w:pPr>
      <w:r w:rsidRPr="007E048D">
        <w:rPr>
          <w:rFonts w:ascii="Calibri" w:hAnsi="Calibri" w:cs="Calibri"/>
          <w:i/>
          <w:iCs/>
          <w:color w:val="222222"/>
          <w:shd w:val="clear" w:color="auto" w:fill="FFFFFF"/>
        </w:rPr>
        <w:t xml:space="preserve">Michelle Bullock, Governor, RBA Monetary Policy Board meeting, </w:t>
      </w:r>
      <w:r w:rsidR="00B8507E">
        <w:rPr>
          <w:rFonts w:ascii="Calibri" w:hAnsi="Calibri" w:cs="Calibri"/>
          <w:i/>
          <w:iCs/>
          <w:color w:val="222222"/>
          <w:shd w:val="clear" w:color="auto" w:fill="FFFFFF"/>
        </w:rPr>
        <w:t>10</w:t>
      </w:r>
      <w:r w:rsidRPr="0054063A">
        <w:rPr>
          <w:rFonts w:ascii="Calibri" w:hAnsi="Calibri" w:cs="Calibri"/>
          <w:i/>
          <w:iCs/>
          <w:color w:val="222222"/>
          <w:shd w:val="clear" w:color="auto" w:fill="FFFFFF"/>
          <w:vertAlign w:val="superscript"/>
        </w:rPr>
        <w:t>th</w:t>
      </w:r>
      <w:r>
        <w:rPr>
          <w:rFonts w:ascii="Calibri" w:hAnsi="Calibri" w:cs="Calibri"/>
          <w:i/>
          <w:iCs/>
          <w:color w:val="222222"/>
          <w:shd w:val="clear" w:color="auto" w:fill="FFFFFF"/>
        </w:rPr>
        <w:t xml:space="preserve"> </w:t>
      </w:r>
      <w:r w:rsidR="00B8507E">
        <w:rPr>
          <w:rFonts w:ascii="Calibri" w:hAnsi="Calibri" w:cs="Calibri"/>
          <w:i/>
          <w:iCs/>
          <w:color w:val="222222"/>
          <w:shd w:val="clear" w:color="auto" w:fill="FFFFFF"/>
        </w:rPr>
        <w:t>Dece</w:t>
      </w:r>
      <w:r>
        <w:rPr>
          <w:rFonts w:ascii="Calibri" w:hAnsi="Calibri" w:cs="Calibri"/>
          <w:i/>
          <w:iCs/>
          <w:color w:val="222222"/>
          <w:shd w:val="clear" w:color="auto" w:fill="FFFFFF"/>
        </w:rPr>
        <w:t>mber</w:t>
      </w:r>
      <w:r w:rsidRPr="007E048D">
        <w:rPr>
          <w:rFonts w:ascii="Calibri" w:hAnsi="Calibri" w:cs="Calibri"/>
          <w:i/>
          <w:iCs/>
          <w:color w:val="222222"/>
          <w:shd w:val="clear" w:color="auto" w:fill="FFFFFF"/>
        </w:rPr>
        <w:t xml:space="preserve"> 2024.</w:t>
      </w:r>
    </w:p>
    <w:p w14:paraId="593CB94C" w14:textId="631BC215" w:rsidR="007A5EA0" w:rsidRDefault="007A5EA0" w:rsidP="00354CB7">
      <w:pPr>
        <w:spacing w:before="120" w:after="120"/>
      </w:pPr>
      <w:r w:rsidRPr="007A5EA0">
        <w:t>The US 10-year Government bonds closed at (</w:t>
      </w:r>
      <w:r w:rsidR="00D70708" w:rsidRPr="00107D5C">
        <w:rPr>
          <w:b/>
          <w:bCs/>
        </w:rPr>
        <w:t>4.1</w:t>
      </w:r>
      <w:r w:rsidR="00DB63F1" w:rsidRPr="00107D5C">
        <w:rPr>
          <w:b/>
          <w:bCs/>
        </w:rPr>
        <w:t>77</w:t>
      </w:r>
      <w:r w:rsidRPr="00107D5C">
        <w:rPr>
          <w:b/>
          <w:bCs/>
        </w:rPr>
        <w:t>%</w:t>
      </w:r>
      <w:r w:rsidRPr="007A5EA0">
        <w:t xml:space="preserve">) for the </w:t>
      </w:r>
      <w:r w:rsidR="00C175CC">
        <w:t>month</w:t>
      </w:r>
      <w:r w:rsidRPr="007A5EA0">
        <w:t xml:space="preserve"> </w:t>
      </w:r>
      <w:r w:rsidR="00DB63F1">
        <w:t>down</w:t>
      </w:r>
      <w:r w:rsidRPr="007A5EA0">
        <w:t xml:space="preserve"> in yield (</w:t>
      </w:r>
      <w:r w:rsidR="00DB63F1">
        <w:t>-0.104</w:t>
      </w:r>
      <w:r w:rsidRPr="007A5EA0">
        <w:t xml:space="preserve">%) from the previous </w:t>
      </w:r>
      <w:r>
        <w:t>month</w:t>
      </w:r>
      <w:r w:rsidRPr="007A5EA0">
        <w:t xml:space="preserve"> close of </w:t>
      </w:r>
      <w:r w:rsidR="002F043F">
        <w:t>(</w:t>
      </w:r>
      <w:r w:rsidR="00DB63F1">
        <w:t>4.281</w:t>
      </w:r>
      <w:r w:rsidRPr="007A5EA0">
        <w:t xml:space="preserve">%). </w:t>
      </w:r>
    </w:p>
    <w:p w14:paraId="7B169699" w14:textId="0CC700F0" w:rsidR="007A5EA0" w:rsidRPr="00D341D7" w:rsidRDefault="007A5EA0" w:rsidP="007A5EA0">
      <w:pPr>
        <w:spacing w:before="120" w:after="120" w:line="240" w:lineRule="auto"/>
      </w:pPr>
      <w:r w:rsidRPr="00D341D7">
        <w:t xml:space="preserve">The Australian Government 10-year bonds finished </w:t>
      </w:r>
      <w:r w:rsidR="00D70708">
        <w:t>higher</w:t>
      </w:r>
      <w:r w:rsidRPr="00D341D7">
        <w:t xml:space="preserve"> in yield in</w:t>
      </w:r>
      <w:r w:rsidR="00767F50">
        <w:t xml:space="preserve"> </w:t>
      </w:r>
      <w:r w:rsidR="00DB63F1">
        <w:t>Novem</w:t>
      </w:r>
      <w:r w:rsidR="00D70708">
        <w:t>b</w:t>
      </w:r>
      <w:r w:rsidR="000A7345">
        <w:t>er</w:t>
      </w:r>
      <w:r w:rsidRPr="00D341D7">
        <w:t xml:space="preserve"> 202</w:t>
      </w:r>
      <w:r w:rsidR="00EB3A29">
        <w:t>4</w:t>
      </w:r>
      <w:r w:rsidRPr="00D341D7">
        <w:t xml:space="preserve"> at (</w:t>
      </w:r>
      <w:r w:rsidR="00D70708" w:rsidRPr="00107D5C">
        <w:rPr>
          <w:b/>
          <w:bCs/>
        </w:rPr>
        <w:t>4.</w:t>
      </w:r>
      <w:r w:rsidR="00DB63F1" w:rsidRPr="00107D5C">
        <w:rPr>
          <w:b/>
          <w:bCs/>
        </w:rPr>
        <w:t>372</w:t>
      </w:r>
      <w:r w:rsidRPr="00107D5C">
        <w:rPr>
          <w:b/>
          <w:bCs/>
        </w:rPr>
        <w:t>%</w:t>
      </w:r>
      <w:r w:rsidRPr="00D341D7">
        <w:t xml:space="preserve">) </w:t>
      </w:r>
      <w:r w:rsidR="00DB63F1">
        <w:t>down</w:t>
      </w:r>
      <w:r w:rsidR="00702885">
        <w:t xml:space="preserve"> </w:t>
      </w:r>
      <w:r w:rsidR="00C175CC">
        <w:t xml:space="preserve">in yield </w:t>
      </w:r>
      <w:r w:rsidRPr="00D341D7">
        <w:t>(</w:t>
      </w:r>
      <w:r w:rsidR="00DB63F1">
        <w:t>-0.146</w:t>
      </w:r>
      <w:r w:rsidR="00D70708">
        <w:t>%</w:t>
      </w:r>
      <w:r w:rsidRPr="00D341D7">
        <w:t>) from (</w:t>
      </w:r>
      <w:r w:rsidR="00DB63F1">
        <w:t>4.518</w:t>
      </w:r>
      <w:r w:rsidRPr="00D341D7">
        <w:t xml:space="preserve">%) in </w:t>
      </w:r>
      <w:r w:rsidR="00DB63F1">
        <w:t>Octo</w:t>
      </w:r>
      <w:r w:rsidR="00D70708">
        <w:t>ber</w:t>
      </w:r>
      <w:r w:rsidRPr="00D341D7">
        <w:t xml:space="preserve"> 202</w:t>
      </w:r>
      <w:r w:rsidR="00BE2C9A">
        <w:t>4</w:t>
      </w:r>
      <w:r w:rsidRPr="00D341D7">
        <w:t xml:space="preserve">. </w:t>
      </w:r>
    </w:p>
    <w:p w14:paraId="2FF27718" w14:textId="69578E9B" w:rsidR="009E7EF6" w:rsidRDefault="00107D5C" w:rsidP="009E7EF6">
      <w:pPr>
        <w:spacing w:before="120" w:after="120"/>
        <w:jc w:val="center"/>
      </w:pPr>
      <w:r w:rsidRPr="00107D5C">
        <w:rPr>
          <w:noProof/>
        </w:rPr>
        <w:lastRenderedPageBreak/>
        <w:drawing>
          <wp:inline distT="0" distB="0" distL="0" distR="0" wp14:anchorId="631D5CD0" wp14:editId="394D663A">
            <wp:extent cx="4358640" cy="1639570"/>
            <wp:effectExtent l="0" t="0" r="3810" b="0"/>
            <wp:docPr id="14032255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8640" cy="1639570"/>
                    </a:xfrm>
                    <a:prstGeom prst="rect">
                      <a:avLst/>
                    </a:prstGeom>
                    <a:noFill/>
                    <a:ln>
                      <a:noFill/>
                    </a:ln>
                  </pic:spPr>
                </pic:pic>
              </a:graphicData>
            </a:graphic>
          </wp:inline>
        </w:drawing>
      </w:r>
    </w:p>
    <w:p w14:paraId="03CFA4CC" w14:textId="5A8FF7C0"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092751">
        <w:rPr>
          <w:sz w:val="18"/>
        </w:rPr>
        <w:t>3</w:t>
      </w:r>
      <w:r w:rsidR="00107D5C">
        <w:rPr>
          <w:sz w:val="18"/>
        </w:rPr>
        <w:t>0</w:t>
      </w:r>
      <w:r w:rsidR="00107D5C" w:rsidRPr="00107D5C">
        <w:rPr>
          <w:sz w:val="18"/>
          <w:vertAlign w:val="superscript"/>
        </w:rPr>
        <w:t>th</w:t>
      </w:r>
      <w:r w:rsidR="00107D5C">
        <w:rPr>
          <w:sz w:val="18"/>
        </w:rPr>
        <w:t xml:space="preserve"> November</w:t>
      </w:r>
      <w:r w:rsidR="009B1992">
        <w:rPr>
          <w:sz w:val="18"/>
        </w:rPr>
        <w:t xml:space="preserve"> </w:t>
      </w:r>
      <w:r w:rsidR="00AA627D">
        <w:rPr>
          <w:sz w:val="18"/>
        </w:rPr>
        <w:t>202</w:t>
      </w:r>
      <w:r w:rsidR="000D513F">
        <w:rPr>
          <w:sz w:val="18"/>
        </w:rPr>
        <w:t>4</w:t>
      </w:r>
    </w:p>
    <w:p w14:paraId="16FB30A8" w14:textId="77777777" w:rsidR="00670F31" w:rsidRDefault="00670F31" w:rsidP="009E7EF6">
      <w:pPr>
        <w:jc w:val="center"/>
        <w:rPr>
          <w:sz w:val="18"/>
        </w:rPr>
      </w:pP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790C0A09" w:rsidR="009E7EF6" w:rsidRDefault="009E7EF6" w:rsidP="00A70A09">
      <w:pPr>
        <w:spacing w:before="0" w:after="0"/>
      </w:pPr>
      <w:r>
        <w:t xml:space="preserve">The </w:t>
      </w:r>
      <w:r w:rsidR="00590B4A">
        <w:t>$</w:t>
      </w:r>
      <w:r>
        <w:t xml:space="preserve">A closed </w:t>
      </w:r>
      <w:r w:rsidR="00D70708">
        <w:t>weaker</w:t>
      </w:r>
      <w:r w:rsidR="009B1992">
        <w:t xml:space="preserve"> </w:t>
      </w:r>
      <w:r w:rsidR="00590B4A">
        <w:t xml:space="preserve">AUD/USD </w:t>
      </w:r>
      <w:r>
        <w:t>0.</w:t>
      </w:r>
      <w:r w:rsidR="003638C4">
        <w:t>6</w:t>
      </w:r>
      <w:r w:rsidR="00D70708">
        <w:t>5</w:t>
      </w:r>
      <w:r w:rsidR="00107D5C">
        <w:t>17</w:t>
      </w:r>
      <w:r>
        <w:t xml:space="preserve"> at the end of </w:t>
      </w:r>
      <w:r w:rsidR="00107D5C">
        <w:t>Novem</w:t>
      </w:r>
      <w:r w:rsidR="00D70708">
        <w:t>ber</w:t>
      </w:r>
      <w:r w:rsidR="00AA627D">
        <w:t xml:space="preserve"> 202</w:t>
      </w:r>
      <w:r w:rsidR="000D513F">
        <w:t>4</w:t>
      </w:r>
      <w:r>
        <w:t xml:space="preserve"> which </w:t>
      </w:r>
      <w:r w:rsidR="00811CBE">
        <w:t xml:space="preserve">was a </w:t>
      </w:r>
      <w:r w:rsidR="00D70708">
        <w:t>positive</w:t>
      </w:r>
      <w:r w:rsidR="00811CBE">
        <w:t xml:space="preserve"> for </w:t>
      </w:r>
      <w:r w:rsidR="00A72332">
        <w:t>returns for</w:t>
      </w:r>
      <w:r>
        <w:t xml:space="preserve"> investors who held offshore assets unhedged (</w:t>
      </w:r>
      <w:r w:rsidR="00107D5C">
        <w:t>+0.79</w:t>
      </w:r>
      <w:r>
        <w:t xml:space="preserve">%) over the </w:t>
      </w:r>
      <w:r w:rsidR="00CE6ADD">
        <w:t xml:space="preserve">month </w:t>
      </w:r>
      <w:r w:rsidR="00DE0182">
        <w:t>and</w:t>
      </w:r>
      <w:r w:rsidR="00CA7193">
        <w:t xml:space="preserve"> </w:t>
      </w:r>
      <w:r w:rsidR="00CE6ADD">
        <w:t>(</w:t>
      </w:r>
      <w:r w:rsidR="00107D5C">
        <w:t>+4.25</w:t>
      </w:r>
      <w:r w:rsidR="00CE6ADD">
        <w:t>%</w:t>
      </w:r>
      <w:r w:rsidR="0088021D">
        <w:t>)</w:t>
      </w:r>
      <w:r w:rsidR="00CE6ADD">
        <w:t xml:space="preserve"> </w:t>
      </w:r>
      <w:r w:rsidR="0088021D">
        <w:t xml:space="preserve">over the </w:t>
      </w:r>
      <w:r>
        <w:t>last three months.</w:t>
      </w:r>
    </w:p>
    <w:p w14:paraId="61BE8DE3" w14:textId="3D0380F4" w:rsidR="004D2D2C" w:rsidRDefault="000F6842" w:rsidP="004D2D2C">
      <w:pPr>
        <w:jc w:val="center"/>
      </w:pPr>
      <w:r>
        <w:rPr>
          <w:noProof/>
        </w:rPr>
        <mc:AlternateContent>
          <mc:Choice Requires="wps">
            <w:drawing>
              <wp:anchor distT="45720" distB="45720" distL="114300" distR="114300" simplePos="0" relativeHeight="251659264" behindDoc="0" locked="0" layoutInCell="1" allowOverlap="1" wp14:anchorId="7430CB9B" wp14:editId="230D5D98">
                <wp:simplePos x="0" y="0"/>
                <wp:positionH relativeFrom="column">
                  <wp:posOffset>3431540</wp:posOffset>
                </wp:positionH>
                <wp:positionV relativeFrom="paragraph">
                  <wp:posOffset>238125</wp:posOffset>
                </wp:positionV>
                <wp:extent cx="2237105" cy="1986915"/>
                <wp:effectExtent l="0" t="0" r="10795" b="13335"/>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98691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0CB9B" id="_x0000_t202" coordsize="21600,21600" o:spt="202" path="m,l,21600r21600,l21600,xe">
                <v:stroke joinstyle="miter"/>
                <v:path gradientshapeok="t" o:connecttype="rect"/>
              </v:shapetype>
              <v:shape id="Text Box 2" o:spid="_x0000_s1026" type="#_x0000_t202" style="position:absolute;left:0;text-align:left;margin-left:270.2pt;margin-top:18.75pt;width:176.15pt;height:15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RRPAIAAKUEAAAOAAAAZHJzL2Uyb0RvYy54bWysVNuO0zAQfUfiHyy/0ySl3UvUdLV0ASEt&#10;F7HwAa5jN9Y6HmO7Tbpfz9hJsxUIHhAv1jiec+bMLaubvtXkIJxXYCpazHJKhOFQK7Or6Pdv715d&#10;UeIDMzXTYERFj8LTm/XLF6vOlmIODehaOIIkxpedrWgTgi2zzPNGtMzPwAqDjxJcywJe3S6rHeuQ&#10;vdXZPM8vsg5cbR1w4T1+vRse6TrxSyl4+CylF4HoiqK2kE6Xzm08s/WKlTvHbKP4KIP9g4qWKYNB&#10;J6o7FhjZO/UbVau4Aw8yzDi0GUipuEg5YDZF/ks2Dw2zIuWCxfF2KpP/f7T80+HBfnEk9G+gxwam&#10;JLy9B/7oiYFNw8xO3DoHXSNYjYGLWLKss74cobHUvvSRZNt9hBqbzPYBElEvXRurgnkSZMcGHKei&#10;iz4Qjh/n89eXRb6khONbcX11cV0sUwxWnuDW+fBeQEuiUVGHXU307HDvQ5TDypNLjKYN6ZBqfpnn&#10;yS0qf2vq1OrAlB5sBGkzphLVj3mEoxYDyVchiaqjwsSSRlJstCMHhsNUPw6ViCzoGSFSaT2BxkrG&#10;OX4G6XACjb4RJtKYTsBB8x+jTd4pIpgwAVtlwP1dqhz8T1kPucb2hX7bY32iuYX6iL10MOwK7jYa&#10;DbgnSjrck4r6H3vmBCX6g8F5uC4Wi7hY6bJYXs7x4s5ftucvzHCkqmigZDA3YVjGvXVq12CkoW4G&#10;bnGGpErdfVY1CsddSE0f9zYu2/k9eT3/XdY/AQAA//8DAFBLAwQUAAYACAAAACEAZtuNBuAAAAAK&#10;AQAADwAAAGRycy9kb3ducmV2LnhtbEyPwU7DMAyG70i8Q2QkbixhXdkoTSdgQkLTLowddswar63W&#10;OFWTreXtMadxtP9Pvz/ny9G14oJ9aDxpeJwoEEiltw1VGnbfHw8LECEasqb1hBp+MMCyuL3JTWb9&#10;QF942cZKcAmFzGioY+wyKUNZozNh4jskzo6+dyby2FfS9mbgctfKqVJP0pmG+EJtOnyvsTxtz07D&#10;OsHTPqnCJgzHt+TTqtWmXa+0vr8bX19ARBzjFYY/fVaHgp0O/kw2iFZDOlMzRjUk8xQEA4vn6RzE&#10;gRcpJ7LI5f8Xil8AAAD//wMAUEsBAi0AFAAGAAgAAAAhALaDOJL+AAAA4QEAABMAAAAAAAAAAAAA&#10;AAAAAAAAAFtDb250ZW50X1R5cGVzXS54bWxQSwECLQAUAAYACAAAACEAOP0h/9YAAACUAQAACwAA&#10;AAAAAAAAAAAAAAAvAQAAX3JlbHMvLnJlbHNQSwECLQAUAAYACAAAACEASgNUUTwCAAClBAAADgAA&#10;AAAAAAAAAAAAAAAuAgAAZHJzL2Uyb0RvYy54bWxQSwECLQAUAAYACAAAACEAZtuNBuAAAAAKAQAA&#10;DwAAAAAAAAAAAAAAAACWBAAAZHJzL2Rvd25yZXYueG1sUEsFBgAAAAAEAAQA8wAAAKMFAAAAAA==&#10;" fillcolor="white [3201]" strokecolor="#414042 [3200]" strokeweight="1pt">
                <v:textbo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v:textbox>
                <w10:wrap type="square"/>
              </v:shape>
            </w:pict>
          </mc:Fallback>
        </mc:AlternateContent>
      </w:r>
      <w:r w:rsidR="00A954C5" w:rsidRPr="00A954C5">
        <w:t xml:space="preserve"> </w:t>
      </w:r>
      <w:r w:rsidR="004915C5" w:rsidRPr="004915C5">
        <w:rPr>
          <w:noProof/>
        </w:rPr>
        <w:drawing>
          <wp:inline distT="0" distB="0" distL="0" distR="0" wp14:anchorId="5EADFECC" wp14:editId="1624CD06">
            <wp:extent cx="3206496" cy="2585042"/>
            <wp:effectExtent l="0" t="0" r="0" b="6350"/>
            <wp:docPr id="18652519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8248" cy="2586454"/>
                    </a:xfrm>
                    <a:prstGeom prst="rect">
                      <a:avLst/>
                    </a:prstGeom>
                    <a:noFill/>
                    <a:ln>
                      <a:noFill/>
                    </a:ln>
                  </pic:spPr>
                </pic:pic>
              </a:graphicData>
            </a:graphic>
          </wp:inline>
        </w:drawing>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10812C5C" w:rsidR="009E7EF6" w:rsidRDefault="00E83078" w:rsidP="00A70A09">
      <w:pPr>
        <w:spacing w:before="0" w:after="240"/>
      </w:pPr>
      <w:r w:rsidRPr="00E83078">
        <w:t>Australia’s latest GDP data for the</w:t>
      </w:r>
      <w:r w:rsidR="00CF265D">
        <w:t xml:space="preserve"> </w:t>
      </w:r>
      <w:r w:rsidR="00642BAE">
        <w:t>third</w:t>
      </w:r>
      <w:r w:rsidRPr="00E83078">
        <w:t xml:space="preserve"> quarter of 202</w:t>
      </w:r>
      <w:r w:rsidR="0091516C">
        <w:t>4</w:t>
      </w:r>
      <w:r w:rsidRPr="00E83078">
        <w:t xml:space="preserve"> revealed an </w:t>
      </w:r>
      <w:r w:rsidRPr="00E83078">
        <w:rPr>
          <w:b/>
          <w:bCs/>
        </w:rPr>
        <w:t xml:space="preserve">annual growth rate of </w:t>
      </w:r>
      <w:r w:rsidR="00642BAE">
        <w:rPr>
          <w:b/>
          <w:bCs/>
        </w:rPr>
        <w:t>0</w:t>
      </w:r>
      <w:r w:rsidR="001F699A">
        <w:rPr>
          <w:b/>
          <w:bCs/>
        </w:rPr>
        <w:t>.</w:t>
      </w:r>
      <w:r w:rsidR="00642BAE">
        <w:rPr>
          <w:b/>
          <w:bCs/>
        </w:rPr>
        <w:t>8</w:t>
      </w:r>
      <w:r w:rsidRPr="00E83078">
        <w:rPr>
          <w:b/>
          <w:bCs/>
        </w:rPr>
        <w:t>%</w:t>
      </w:r>
      <w:r w:rsidRPr="00E83078">
        <w:t xml:space="preserve"> which was </w:t>
      </w:r>
      <w:r w:rsidR="001F699A">
        <w:t>down</w:t>
      </w:r>
      <w:r w:rsidR="002656F2">
        <w:t xml:space="preserve"> f</w:t>
      </w:r>
      <w:r w:rsidRPr="00E83078">
        <w:t xml:space="preserve">rom </w:t>
      </w:r>
      <w:r w:rsidR="0091516C">
        <w:t>1.</w:t>
      </w:r>
      <w:r w:rsidR="00642BAE">
        <w:t>0</w:t>
      </w:r>
      <w:r w:rsidR="001F699A">
        <w:t xml:space="preserve">0% in the </w:t>
      </w:r>
      <w:r w:rsidR="00642BAE">
        <w:t>second</w:t>
      </w:r>
      <w:r w:rsidR="001F699A">
        <w:t xml:space="preserve"> </w:t>
      </w:r>
      <w:r w:rsidRPr="00E83078">
        <w:t>quarter of 202</w:t>
      </w:r>
      <w:r w:rsidR="00CF265D">
        <w:t>4</w:t>
      </w:r>
      <w:r w:rsidR="002656F2">
        <w:t>.</w:t>
      </w:r>
      <w:r w:rsidRPr="00E83078">
        <w:t xml:space="preserve"> Unemployment </w:t>
      </w:r>
      <w:r w:rsidR="00642BAE">
        <w:t>fell</w:t>
      </w:r>
      <w:r w:rsidR="009F26B6">
        <w:t xml:space="preserve"> to </w:t>
      </w:r>
      <w:r w:rsidR="00642BAE">
        <w:t>3.9</w:t>
      </w:r>
      <w:r w:rsidR="00481C63">
        <w:t xml:space="preserve">% </w:t>
      </w:r>
      <w:r w:rsidRPr="00E83078">
        <w:t xml:space="preserve">in </w:t>
      </w:r>
      <w:r w:rsidR="00642BAE">
        <w:t>Novem</w:t>
      </w:r>
      <w:r w:rsidR="004916DD">
        <w:t>ber</w:t>
      </w:r>
      <w:r w:rsidRPr="00E83078">
        <w:t xml:space="preserve"> 202</w:t>
      </w:r>
      <w:r w:rsidR="0089173A">
        <w:t>4</w:t>
      </w:r>
      <w:r w:rsidR="009F26B6">
        <w:t xml:space="preserve"> </w:t>
      </w:r>
      <w:r w:rsidR="00642BAE">
        <w:t>down from 4.1% in October 2024.</w:t>
      </w:r>
      <w:r w:rsidRPr="00E83078">
        <w:t xml:space="preserve"> The </w:t>
      </w:r>
      <w:r w:rsidR="00642BAE">
        <w:t xml:space="preserve">Y-O-Y </w:t>
      </w:r>
      <w:r w:rsidR="001918FE" w:rsidRPr="007D7864">
        <w:rPr>
          <w:b/>
          <w:bCs/>
        </w:rPr>
        <w:t xml:space="preserve">inflation rate </w:t>
      </w:r>
      <w:r w:rsidR="004916DD">
        <w:rPr>
          <w:b/>
          <w:bCs/>
        </w:rPr>
        <w:t>fell</w:t>
      </w:r>
      <w:r w:rsidR="001918FE" w:rsidRPr="007D7864">
        <w:rPr>
          <w:b/>
          <w:bCs/>
        </w:rPr>
        <w:t xml:space="preserve"> to </w:t>
      </w:r>
      <w:r w:rsidR="004916DD">
        <w:rPr>
          <w:b/>
          <w:bCs/>
        </w:rPr>
        <w:t>2</w:t>
      </w:r>
      <w:r w:rsidR="00A7764C">
        <w:rPr>
          <w:b/>
          <w:bCs/>
        </w:rPr>
        <w:t>.</w:t>
      </w:r>
      <w:r w:rsidR="00301803">
        <w:rPr>
          <w:b/>
          <w:bCs/>
        </w:rPr>
        <w:t>8</w:t>
      </w:r>
      <w:r w:rsidR="001918FE" w:rsidRPr="007D7864">
        <w:rPr>
          <w:b/>
          <w:bCs/>
        </w:rPr>
        <w:t>%</w:t>
      </w:r>
      <w:r w:rsidR="001918FE">
        <w:t xml:space="preserve"> in the </w:t>
      </w:r>
      <w:r w:rsidR="004916DD">
        <w:t>third</w:t>
      </w:r>
      <w:r w:rsidR="001918FE">
        <w:t xml:space="preserve"> quarter of 202</w:t>
      </w:r>
      <w:r w:rsidR="00A7764C">
        <w:t>4</w:t>
      </w:r>
      <w:r w:rsidR="001918FE">
        <w:t xml:space="preserve"> </w:t>
      </w:r>
      <w:r w:rsidR="004916DD">
        <w:t>down</w:t>
      </w:r>
      <w:r w:rsidR="001918FE">
        <w:t xml:space="preserve"> from </w:t>
      </w:r>
      <w:r w:rsidR="00301803">
        <w:t>3.</w:t>
      </w:r>
      <w:r w:rsidR="004916DD">
        <w:t>8</w:t>
      </w:r>
      <w:r w:rsidR="001918FE">
        <w:t xml:space="preserve">% in the </w:t>
      </w:r>
      <w:r w:rsidR="004916DD">
        <w:t>second</w:t>
      </w:r>
      <w:r w:rsidR="001918FE">
        <w:t xml:space="preserve"> quarter 202</w:t>
      </w:r>
      <w:r w:rsidR="00301803">
        <w:t>4</w:t>
      </w:r>
      <w:r w:rsidR="001918FE">
        <w:t xml:space="preserve">, </w:t>
      </w:r>
      <w:r w:rsidR="009E7EF6">
        <w:t xml:space="preserve">which is </w:t>
      </w:r>
      <w:r w:rsidR="004916DD">
        <w:t>just within</w:t>
      </w:r>
      <w:r w:rsidR="00892627">
        <w:t xml:space="preserve"> the </w:t>
      </w:r>
      <w:r w:rsidR="009E7EF6">
        <w:t>Reserve Bank’s targeted 2% to 3% target range.</w:t>
      </w:r>
      <w:r w:rsidR="009E7EF6" w:rsidRPr="00954E33">
        <w:t xml:space="preserve"> </w:t>
      </w:r>
    </w:p>
    <w:p w14:paraId="2527D827" w14:textId="25BAA40E" w:rsidR="00147535" w:rsidRDefault="003045BD" w:rsidP="00C96BC6">
      <w:pPr>
        <w:pStyle w:val="Heading2"/>
        <w:jc w:val="center"/>
        <w:rPr>
          <w:b w:val="0"/>
          <w:bCs w:val="0"/>
        </w:rPr>
      </w:pPr>
      <w:r w:rsidRPr="003045BD">
        <w:rPr>
          <w:b w:val="0"/>
          <w:bCs w:val="0"/>
          <w:noProof/>
        </w:rPr>
        <w:lastRenderedPageBreak/>
        <w:drawing>
          <wp:inline distT="0" distB="0" distL="0" distR="0" wp14:anchorId="12F79505" wp14:editId="39F015D4">
            <wp:extent cx="2836675" cy="2365248"/>
            <wp:effectExtent l="0" t="0" r="1905" b="0"/>
            <wp:docPr id="16139117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2114" cy="2369783"/>
                    </a:xfrm>
                    <a:prstGeom prst="rect">
                      <a:avLst/>
                    </a:prstGeom>
                    <a:noFill/>
                    <a:ln>
                      <a:noFill/>
                    </a:ln>
                  </pic:spPr>
                </pic:pic>
              </a:graphicData>
            </a:graphic>
          </wp:inline>
        </w:drawing>
      </w:r>
      <w:r w:rsidR="00907005" w:rsidRPr="00907005">
        <w:rPr>
          <w:b w:val="0"/>
          <w:bCs w:val="0"/>
        </w:rPr>
        <w:t xml:space="preserve"> </w:t>
      </w:r>
      <w:r w:rsidRPr="003045BD">
        <w:rPr>
          <w:b w:val="0"/>
          <w:bCs w:val="0"/>
          <w:noProof/>
        </w:rPr>
        <w:drawing>
          <wp:inline distT="0" distB="0" distL="0" distR="0" wp14:anchorId="52BAA654" wp14:editId="7A443C86">
            <wp:extent cx="2590901" cy="2334768"/>
            <wp:effectExtent l="0" t="0" r="0" b="8890"/>
            <wp:docPr id="11365303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5286" cy="2338720"/>
                    </a:xfrm>
                    <a:prstGeom prst="rect">
                      <a:avLst/>
                    </a:prstGeom>
                    <a:noFill/>
                    <a:ln>
                      <a:noFill/>
                    </a:ln>
                  </pic:spPr>
                </pic:pic>
              </a:graphicData>
            </a:graphic>
          </wp:inline>
        </w:drawing>
      </w:r>
    </w:p>
    <w:p w14:paraId="49164B88" w14:textId="77777777" w:rsidR="00F33D40" w:rsidRPr="00F33D40" w:rsidRDefault="00F33D40" w:rsidP="00F33D40">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08E39423" w:rsidR="00D658F2" w:rsidRDefault="00D658F2" w:rsidP="00001F8C">
      <w:r>
        <w:t xml:space="preserve">The overall </w:t>
      </w:r>
      <w:r w:rsidR="002C2046">
        <w:t xml:space="preserve">investment </w:t>
      </w:r>
      <w:r w:rsidR="00242925">
        <w:t>view</w:t>
      </w:r>
      <w:r>
        <w:t xml:space="preserve"> </w:t>
      </w:r>
      <w:r w:rsidR="005A4CB4">
        <w:t xml:space="preserve">for shares </w:t>
      </w:r>
      <w:r>
        <w:t>i</w:t>
      </w:r>
      <w:r w:rsidR="000D2EF0">
        <w:t>n the</w:t>
      </w:r>
      <w:r>
        <w:t xml:space="preserve"> </w:t>
      </w:r>
      <w:r w:rsidR="00211307">
        <w:t xml:space="preserve">short-term </w:t>
      </w:r>
      <w:r w:rsidR="00CF265D">
        <w:t xml:space="preserve">remains </w:t>
      </w:r>
      <w:r w:rsidR="008116BB" w:rsidRPr="00C96BC6">
        <w:rPr>
          <w:b/>
          <w:bCs/>
        </w:rPr>
        <w:t>“</w:t>
      </w:r>
      <w:r w:rsidR="0077020B">
        <w:rPr>
          <w:b/>
          <w:bCs/>
        </w:rPr>
        <w:t>cautiously optimistic</w:t>
      </w:r>
      <w:r w:rsidR="008116BB" w:rsidRPr="00C96BC6">
        <w:rPr>
          <w:b/>
          <w:bCs/>
        </w:rPr>
        <w:t>”</w:t>
      </w:r>
      <w:r w:rsidR="005A4CB4">
        <w:t xml:space="preserve"> </w:t>
      </w:r>
      <w:r w:rsidR="00C96BC6">
        <w:t xml:space="preserve"> </w:t>
      </w:r>
      <w:r w:rsidR="0029438A">
        <w:t>and</w:t>
      </w:r>
      <w:r w:rsidR="00C96BC6">
        <w:t xml:space="preserve">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w:t>
      </w:r>
      <w:r w:rsidR="00C5696F" w:rsidRPr="00F33D40">
        <w:rPr>
          <w:b/>
          <w:bCs/>
        </w:rPr>
        <w:t xml:space="preserve">expected to </w:t>
      </w:r>
      <w:r w:rsidR="002903A6" w:rsidRPr="00F33D40">
        <w:rPr>
          <w:b/>
          <w:bCs/>
        </w:rPr>
        <w:t>ease</w:t>
      </w:r>
      <w:r w:rsidR="00C96BC6" w:rsidRPr="00F33D40">
        <w:rPr>
          <w:b/>
          <w:bCs/>
        </w:rPr>
        <w:t xml:space="preserve"> </w:t>
      </w:r>
      <w:r w:rsidR="0077020B" w:rsidRPr="00F33D40">
        <w:rPr>
          <w:b/>
          <w:bCs/>
        </w:rPr>
        <w:t xml:space="preserve">in </w:t>
      </w:r>
      <w:r w:rsidR="004916DD">
        <w:rPr>
          <w:b/>
          <w:bCs/>
        </w:rPr>
        <w:t>March</w:t>
      </w:r>
      <w:r w:rsidR="00CF265D">
        <w:rPr>
          <w:b/>
          <w:bCs/>
        </w:rPr>
        <w:t xml:space="preserve"> </w:t>
      </w:r>
      <w:r w:rsidR="0077020B" w:rsidRPr="00F33D40">
        <w:rPr>
          <w:b/>
          <w:bCs/>
        </w:rPr>
        <w:t>202</w:t>
      </w:r>
      <w:r w:rsidR="00F33D40" w:rsidRPr="00F33D40">
        <w:rPr>
          <w:b/>
          <w:bCs/>
        </w:rPr>
        <w:t>5</w:t>
      </w:r>
      <w:r w:rsidR="0077020B">
        <w:t xml:space="preserve"> </w:t>
      </w:r>
      <w:r w:rsidR="00C96BC6">
        <w:t>along with inflation</w:t>
      </w:r>
      <w:r w:rsidR="00745215">
        <w:t xml:space="preserve">. </w:t>
      </w:r>
    </w:p>
    <w:p w14:paraId="584F1152" w14:textId="2B90A091" w:rsidR="0077020B" w:rsidRPr="002214C5" w:rsidRDefault="00854E2E" w:rsidP="00001F8C">
      <w:r>
        <w:t>All eyes are on</w:t>
      </w:r>
      <w:r w:rsidR="0077020B">
        <w:t xml:space="preserve"> </w:t>
      </w:r>
      <w:r w:rsidR="00A21943">
        <w:t xml:space="preserve">when the next Federal election will be called and </w:t>
      </w:r>
      <w:r w:rsidR="0077020B">
        <w:t xml:space="preserve">how the State Governments </w:t>
      </w:r>
      <w:r w:rsidR="00A21943">
        <w:t xml:space="preserve">are going to </w:t>
      </w:r>
      <w:r w:rsidR="002214C5">
        <w:t xml:space="preserve">tackle the growing debt burden </w:t>
      </w:r>
      <w:r w:rsidR="0077020B">
        <w:t xml:space="preserve">and the impact on consumer spending. Needless to say: </w:t>
      </w:r>
      <w:r w:rsidR="0077020B" w:rsidRPr="0077020B">
        <w:rPr>
          <w:b/>
          <w:bCs/>
        </w:rPr>
        <w:t>Higher spending=higher demand=higher prices=higher inflation=higher for longer interest rates.</w:t>
      </w:r>
      <w:r w:rsidR="002214C5">
        <w:rPr>
          <w:b/>
          <w:bCs/>
        </w:rPr>
        <w:t xml:space="preserve"> </w:t>
      </w:r>
      <w:r w:rsidR="002214C5" w:rsidRPr="002214C5">
        <w:t xml:space="preserve">Both State and Federal debt levels are rising and </w:t>
      </w:r>
      <w:r w:rsidR="002214C5">
        <w:t xml:space="preserve">it is unclear how they are </w:t>
      </w:r>
      <w:r w:rsidR="00A21943">
        <w:t xml:space="preserve">going to </w:t>
      </w:r>
      <w:r w:rsidR="002214C5">
        <w:t xml:space="preserve">reign in this spending. </w:t>
      </w:r>
      <w:r w:rsidR="002214C5" w:rsidRPr="00A21943">
        <w:rPr>
          <w:b/>
          <w:bCs/>
        </w:rPr>
        <w:t>Government debt is now 43.8</w:t>
      </w:r>
      <w:r w:rsidR="00A21943" w:rsidRPr="00A21943">
        <w:rPr>
          <w:b/>
          <w:bCs/>
        </w:rPr>
        <w:t>0% of GDP</w:t>
      </w:r>
      <w:r w:rsidR="00A21943">
        <w:t>.</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181A4506" w14:textId="77777777" w:rsidR="00A21943" w:rsidRDefault="00FD5867" w:rsidP="00E02932">
      <w:pPr>
        <w:spacing w:before="120" w:after="120"/>
      </w:pPr>
      <w:r>
        <w:t>Global</w:t>
      </w:r>
      <w:r w:rsidR="00F11088">
        <w:t xml:space="preserve"> </w:t>
      </w:r>
      <w:r w:rsidR="0077020B">
        <w:t xml:space="preserve">share </w:t>
      </w:r>
      <w:r w:rsidR="002761ED">
        <w:t xml:space="preserve">market </w:t>
      </w:r>
      <w:r w:rsidR="001451A8">
        <w:t xml:space="preserve">returns </w:t>
      </w:r>
      <w:r w:rsidR="00A21943">
        <w:t xml:space="preserve">are supported by the strength of the US economy and the pace of </w:t>
      </w:r>
      <w:r w:rsidR="00242925">
        <w:t>Central Bank easing</w:t>
      </w:r>
      <w:r w:rsidR="00A21943">
        <w:t xml:space="preserve">. The recent </w:t>
      </w:r>
      <w:r w:rsidR="00242925">
        <w:t xml:space="preserve">bond price sell-off post the US Fed decision </w:t>
      </w:r>
      <w:r w:rsidR="00A21943">
        <w:t xml:space="preserve">has unsettled bond investors short-term. The </w:t>
      </w:r>
      <w:r w:rsidR="00D8605F">
        <w:t xml:space="preserve">unemployment data  coming in </w:t>
      </w:r>
      <w:r w:rsidR="00144655">
        <w:t xml:space="preserve">a little </w:t>
      </w:r>
      <w:r w:rsidR="00A21943">
        <w:t>weaker</w:t>
      </w:r>
      <w:r w:rsidR="00144655">
        <w:t xml:space="preserve"> at 4.</w:t>
      </w:r>
      <w:r w:rsidR="00A21943">
        <w:t>2</w:t>
      </w:r>
      <w:r w:rsidR="00144655">
        <w:t xml:space="preserve">% </w:t>
      </w:r>
      <w:r w:rsidR="00A21943">
        <w:t>up</w:t>
      </w:r>
      <w:r w:rsidR="00144655">
        <w:t xml:space="preserve"> from 4.</w:t>
      </w:r>
      <w:r w:rsidR="00A21943">
        <w:t>1</w:t>
      </w:r>
      <w:r w:rsidR="00144655">
        <w:t xml:space="preserve">% in </w:t>
      </w:r>
      <w:r w:rsidR="00A21943">
        <w:t>Nove</w:t>
      </w:r>
      <w:r w:rsidR="00144655">
        <w:t>mber 2024</w:t>
      </w:r>
      <w:r w:rsidR="00A21943">
        <w:t xml:space="preserve"> helps with any monetary policy easing that may be considered by the Fed.</w:t>
      </w:r>
    </w:p>
    <w:p w14:paraId="670F5E44" w14:textId="5C6D4C4B" w:rsidR="009B38B3" w:rsidRDefault="00CC3247" w:rsidP="00E02932">
      <w:pPr>
        <w:spacing w:before="120" w:after="120"/>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277A4">
        <w:t xml:space="preserve">, Hezbollah and </w:t>
      </w:r>
      <w:r w:rsidR="006B19AD">
        <w:t xml:space="preserve"> </w:t>
      </w:r>
      <w:r w:rsidR="006277A4">
        <w:t xml:space="preserve">Houthi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w:t>
      </w:r>
      <w:r w:rsidR="00885792">
        <w:rPr>
          <w:b/>
          <w:bCs/>
        </w:rPr>
        <w:t>reasonable</w:t>
      </w:r>
      <w:r w:rsidR="00090E25" w:rsidRPr="00090E25">
        <w:rPr>
          <w:b/>
          <w:bCs/>
        </w:rPr>
        <w:t xml:space="preserve"> opportunities for investors</w:t>
      </w:r>
      <w:r w:rsidR="00090E25">
        <w:t xml:space="preserve">. </w:t>
      </w:r>
      <w:r w:rsidR="006277A4">
        <w:t>Post the US election, s</w:t>
      </w:r>
      <w:r w:rsidR="007B07C4">
        <w:t xml:space="preserve">hort-term, </w:t>
      </w:r>
      <w:r w:rsidR="007633F4">
        <w:t xml:space="preserve">we </w:t>
      </w:r>
      <w:r w:rsidR="007B07C4">
        <w:t xml:space="preserve">expect </w:t>
      </w:r>
      <w:r w:rsidR="00C5696F">
        <w:t>Q</w:t>
      </w:r>
      <w:r w:rsidR="00C00E8F">
        <w:t>4</w:t>
      </w:r>
      <w:r w:rsidR="00C5696F">
        <w:t xml:space="preserve"> </w:t>
      </w:r>
      <w:r w:rsidR="002903A6">
        <w:t xml:space="preserve">to reflect </w:t>
      </w:r>
      <w:r w:rsidR="006277A4">
        <w:t>cyclical factors</w:t>
      </w:r>
      <w:r w:rsidR="00885792">
        <w:t xml:space="preserve"> (festive season spending)</w:t>
      </w:r>
      <w:r w:rsidR="006277A4">
        <w:t xml:space="preserve">, </w:t>
      </w:r>
      <w:r w:rsidR="00C00E8F">
        <w:t>improving</w:t>
      </w:r>
      <w:r w:rsidR="00C465D1">
        <w:t xml:space="preserve"> </w:t>
      </w:r>
      <w:r w:rsidR="00C5696F">
        <w:t xml:space="preserve">company results plus </w:t>
      </w:r>
      <w:r w:rsidR="00C465D1">
        <w:t>c</w:t>
      </w:r>
      <w:r w:rsidR="00C00E8F">
        <w:t>onservative</w:t>
      </w:r>
      <w:r w:rsidR="00C465D1">
        <w:t xml:space="preserve"> </w:t>
      </w:r>
      <w:r w:rsidR="00885792">
        <w:t xml:space="preserve">company </w:t>
      </w:r>
      <w:r w:rsidR="00C5696F">
        <w:t>forward guidance</w:t>
      </w:r>
      <w:r w:rsidR="00885792">
        <w:t>,</w:t>
      </w:r>
      <w:r w:rsidR="00C465D1">
        <w:t xml:space="preserve"> </w:t>
      </w:r>
      <w:r w:rsidR="00C00E8F">
        <w:t xml:space="preserve">will </w:t>
      </w:r>
      <w:r w:rsidR="00C465D1">
        <w:t>help support</w:t>
      </w:r>
      <w:r w:rsidR="00C5696F">
        <w:t xml:space="preserve"> </w:t>
      </w:r>
      <w:r w:rsidR="00600EF9">
        <w:t>investor appetite as interest rates search for equilibrium</w:t>
      </w:r>
      <w:r w:rsidR="002761ED">
        <w:t xml:space="preserve"> </w:t>
      </w:r>
      <w:r w:rsidR="00885792">
        <w:t xml:space="preserve">somewhere </w:t>
      </w:r>
      <w:r w:rsidR="002761ED">
        <w:t>between the current supply and demand for capital</w:t>
      </w:r>
      <w:r w:rsidR="00C00E8F">
        <w:t>.</w:t>
      </w:r>
      <w:r w:rsidR="00005474">
        <w:rPr>
          <w:rFonts w:ascii="Calibri" w:hAnsi="Calibri" w:cs="Calibri"/>
          <w:color w:val="222222"/>
          <w:sz w:val="24"/>
          <w:szCs w:val="24"/>
          <w:shd w:val="clear" w:color="auto" w:fill="FFFFFF"/>
        </w:rPr>
        <w:t xml:space="preserve"> </w:t>
      </w:r>
    </w:p>
    <w:p w14:paraId="746B3093" w14:textId="22FABC60" w:rsidR="00476B80" w:rsidRPr="00E37E86" w:rsidRDefault="00FA2956" w:rsidP="004273DE">
      <w:pPr>
        <w:spacing w:before="120" w:after="120"/>
        <w:rPr>
          <w:b/>
          <w:bCs/>
        </w:rPr>
      </w:pPr>
      <w:r>
        <w:rPr>
          <w:b/>
          <w:bCs/>
        </w:rPr>
        <w:lastRenderedPageBreak/>
        <w:t>Where to From Here?</w:t>
      </w:r>
    </w:p>
    <w:p w14:paraId="3208B238" w14:textId="77777777" w:rsidR="002761ED" w:rsidRDefault="00FA2956" w:rsidP="004273DE">
      <w:pPr>
        <w:spacing w:before="120" w:after="120"/>
      </w:pPr>
      <w:r w:rsidRPr="00850E8E">
        <w:rPr>
          <w:b/>
          <w:bCs/>
        </w:rPr>
        <w:t>For Australia</w:t>
      </w:r>
      <w:r>
        <w:t xml:space="preserve">, </w:t>
      </w:r>
      <w:r w:rsidR="002761ED">
        <w:t xml:space="preserve"> a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2DD8849D" w14:textId="1CB94DC0" w:rsidR="009E17E6" w:rsidRDefault="009E17E6" w:rsidP="004273DE">
      <w:pPr>
        <w:spacing w:before="120" w:after="120"/>
      </w:pPr>
      <w:r>
        <w:t xml:space="preserve">At this time in the business cycle, the festive season will result in markets drifting with bouts of volatility as the </w:t>
      </w:r>
      <w:r w:rsidR="00B23D9F">
        <w:t>bulk of</w:t>
      </w:r>
      <w:r>
        <w:t xml:space="preserve"> investors take a break. Thin markets will mean </w:t>
      </w:r>
      <w:r w:rsidRPr="00B23D9F">
        <w:rPr>
          <w:b/>
          <w:bCs/>
        </w:rPr>
        <w:t>share prices may not accurately reflect the underlying fundamentals</w:t>
      </w:r>
      <w:r>
        <w:t xml:space="preserve"> so be mindful of these times when making changes to your portfolio.</w:t>
      </w:r>
    </w:p>
    <w:p w14:paraId="6BF46611" w14:textId="0299D529" w:rsidR="00DC3092" w:rsidRPr="00DC3092" w:rsidRDefault="00A81BD3" w:rsidP="004273DE">
      <w:pPr>
        <w:spacing w:before="120" w:after="120"/>
      </w:pPr>
      <w:r w:rsidRPr="00DC3092">
        <w:t xml:space="preserve">All eyes 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3C32CC6D" w:rsidR="00D06704" w:rsidRDefault="002761ED" w:rsidP="009E7EF6">
      <w:r w:rsidRPr="002761ED">
        <w:rPr>
          <w:b/>
          <w:bCs/>
        </w:rPr>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potential </w:t>
      </w:r>
      <w:r w:rsidR="007D1BED" w:rsidRPr="007D1BED">
        <w:rPr>
          <w:b/>
          <w:bCs/>
        </w:rPr>
        <w:t>soft landing</w:t>
      </w:r>
      <w:r w:rsidR="007D1BED">
        <w:t xml:space="preserve"> rather than a mild recession</w:t>
      </w:r>
      <w:r w:rsidR="00B52912">
        <w:t xml:space="preserve"> </w:t>
      </w:r>
      <w:r w:rsidR="0002488F">
        <w:t xml:space="preserve">in the US and </w:t>
      </w:r>
      <w:r w:rsidR="00BD7F87">
        <w:t xml:space="preserve">eventually </w:t>
      </w:r>
      <w:r w:rsidR="0002488F">
        <w:t xml:space="preserve">Europe </w:t>
      </w:r>
      <w:r w:rsidR="007F4AD0">
        <w:t>down the track</w:t>
      </w:r>
      <w:r w:rsidR="00005474">
        <w:t xml:space="preserve">. </w:t>
      </w:r>
    </w:p>
    <w:p w14:paraId="3ED46007" w14:textId="69B0D331" w:rsidR="00BD7F87" w:rsidRDefault="00BD7F87" w:rsidP="009E7EF6">
      <w:r>
        <w:t xml:space="preserve">The </w:t>
      </w:r>
      <w:r w:rsidRPr="00BD7F87">
        <w:rPr>
          <w:b/>
          <w:bCs/>
        </w:rPr>
        <w:t>political unrest</w:t>
      </w:r>
      <w:r>
        <w:t xml:space="preserve"> is a concern for global growth prospects with conflict being experienced in several countries around the world. We hope in each situation, a peaceful solution can be reached and any violence avoided. </w:t>
      </w:r>
    </w:p>
    <w:p w14:paraId="67B2D452" w14:textId="19B9DFF5"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Pr="00005474">
        <w:rPr>
          <w:b/>
          <w:bCs/>
        </w:rPr>
        <w:t>found</w:t>
      </w:r>
      <w:r w:rsidR="00B52912" w:rsidRPr="00005474">
        <w:rPr>
          <w:b/>
          <w:bCs/>
        </w:rPr>
        <w:t xml:space="preserve"> a</w:t>
      </w:r>
      <w:r w:rsidR="00B52912" w:rsidRPr="00A64C25">
        <w:rPr>
          <w:b/>
          <w:bCs/>
        </w:rPr>
        <w:t xml:space="preserve"> bottom </w:t>
      </w:r>
      <w:r w:rsidR="004A734E" w:rsidRPr="00A64C25">
        <w:rPr>
          <w:b/>
          <w:bCs/>
        </w:rPr>
        <w:t xml:space="preserve">and </w:t>
      </w:r>
      <w:r w:rsidR="00DF2504">
        <w:rPr>
          <w:b/>
          <w:bCs/>
        </w:rPr>
        <w:t xml:space="preserve">now seeing a clearer picture of what lies ahead.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32492DDB" w:rsidR="00DA7237" w:rsidRDefault="00B52912" w:rsidP="006E0DCD">
      <w:r>
        <w:t xml:space="preserve">Fingers crossed </w:t>
      </w:r>
      <w:r w:rsidR="004A1535">
        <w:t xml:space="preserve">monetary policy </w:t>
      </w:r>
      <w:r w:rsidR="00412A09">
        <w:t xml:space="preserve">direction </w:t>
      </w:r>
      <w:r w:rsidR="00513CA7">
        <w:t xml:space="preserve">remains </w:t>
      </w:r>
      <w:r w:rsidR="00DF2504">
        <w:t xml:space="preserve">accommodative and </w:t>
      </w:r>
      <w:r w:rsidR="00513CA7">
        <w:t xml:space="preserve">trending towards </w:t>
      </w:r>
      <w:r w:rsidR="00DF2504">
        <w:t>further</w:t>
      </w:r>
      <w:r w:rsidR="00513CA7">
        <w:t xml:space="preserve"> easing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20A62BEF" w14:textId="7E9C044C" w:rsidR="009E7EF6" w:rsidRPr="0002488F" w:rsidRDefault="009E7EF6" w:rsidP="0090611C">
      <w:pPr>
        <w:rPr>
          <w:b/>
          <w:bCs/>
        </w:rPr>
      </w:pPr>
      <w:r w:rsidRPr="0002488F">
        <w:rPr>
          <w:b/>
          <w:bCs/>
        </w:rPr>
        <w:t>Footnote</w:t>
      </w:r>
    </w:p>
    <w:p w14:paraId="458C9861" w14:textId="1F9ACECA" w:rsidR="00DE74A4" w:rsidRPr="000F52AB" w:rsidRDefault="009E7EF6" w:rsidP="00421DFB">
      <w:r w:rsidRPr="00A851EE">
        <w:rPr>
          <w:sz w:val="18"/>
        </w:rPr>
        <w:t xml:space="preserve">This market update written by Graham Fox for and on behalf of HNW Planning on </w:t>
      </w:r>
      <w:r w:rsidR="004A1535">
        <w:rPr>
          <w:sz w:val="18"/>
        </w:rPr>
        <w:t>1</w:t>
      </w:r>
      <w:r w:rsidR="00BD7F87">
        <w:rPr>
          <w:sz w:val="18"/>
        </w:rPr>
        <w:t>7</w:t>
      </w:r>
      <w:r w:rsidRPr="00A851EE">
        <w:rPr>
          <w:sz w:val="18"/>
        </w:rPr>
        <w:t>/</w:t>
      </w:r>
      <w:r w:rsidR="00DF2504">
        <w:rPr>
          <w:sz w:val="18"/>
        </w:rPr>
        <w:t>1</w:t>
      </w:r>
      <w:r w:rsidR="00BD7F87">
        <w:rPr>
          <w:sz w:val="18"/>
        </w:rPr>
        <w:t>2</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0"/>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28AD8" w14:textId="77777777" w:rsidR="00D04462" w:rsidRDefault="00D04462" w:rsidP="00EB28A8">
      <w:pPr>
        <w:spacing w:after="0" w:line="240" w:lineRule="auto"/>
      </w:pPr>
      <w:r>
        <w:separator/>
      </w:r>
    </w:p>
  </w:endnote>
  <w:endnote w:type="continuationSeparator" w:id="0">
    <w:p w14:paraId="4447F4DE" w14:textId="77777777" w:rsidR="00D04462" w:rsidRDefault="00D04462"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B0FC" w14:textId="77777777" w:rsidR="00D04462" w:rsidRDefault="00D04462" w:rsidP="00EB28A8">
      <w:pPr>
        <w:spacing w:after="0" w:line="240" w:lineRule="auto"/>
      </w:pPr>
      <w:r>
        <w:separator/>
      </w:r>
    </w:p>
  </w:footnote>
  <w:footnote w:type="continuationSeparator" w:id="0">
    <w:p w14:paraId="656A90BE" w14:textId="77777777" w:rsidR="00D04462" w:rsidRDefault="00D04462"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6"/>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7"/>
  </w:num>
  <w:num w:numId="8" w16cid:durableId="1542089249">
    <w:abstractNumId w:val="8"/>
  </w:num>
  <w:num w:numId="9" w16cid:durableId="5621821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35C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1762"/>
    <w:rsid w:val="00042755"/>
    <w:rsid w:val="0004442A"/>
    <w:rsid w:val="00045650"/>
    <w:rsid w:val="000458E9"/>
    <w:rsid w:val="00046301"/>
    <w:rsid w:val="00046589"/>
    <w:rsid w:val="00046840"/>
    <w:rsid w:val="00050628"/>
    <w:rsid w:val="0005073D"/>
    <w:rsid w:val="00051004"/>
    <w:rsid w:val="00051451"/>
    <w:rsid w:val="000530FF"/>
    <w:rsid w:val="00053887"/>
    <w:rsid w:val="00054BDB"/>
    <w:rsid w:val="000558CB"/>
    <w:rsid w:val="00055F78"/>
    <w:rsid w:val="000566FA"/>
    <w:rsid w:val="0005674F"/>
    <w:rsid w:val="00056D53"/>
    <w:rsid w:val="0005797F"/>
    <w:rsid w:val="00060AB6"/>
    <w:rsid w:val="00061657"/>
    <w:rsid w:val="00062337"/>
    <w:rsid w:val="00063F3C"/>
    <w:rsid w:val="00066C19"/>
    <w:rsid w:val="00066E8A"/>
    <w:rsid w:val="00067753"/>
    <w:rsid w:val="000678F3"/>
    <w:rsid w:val="00071486"/>
    <w:rsid w:val="000732F1"/>
    <w:rsid w:val="00074A1A"/>
    <w:rsid w:val="00076007"/>
    <w:rsid w:val="000764FC"/>
    <w:rsid w:val="00077B36"/>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1A15"/>
    <w:rsid w:val="000A26DE"/>
    <w:rsid w:val="000A36E7"/>
    <w:rsid w:val="000A3B2A"/>
    <w:rsid w:val="000A5F08"/>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1EB9"/>
    <w:rsid w:val="001357C3"/>
    <w:rsid w:val="00136204"/>
    <w:rsid w:val="00136F68"/>
    <w:rsid w:val="00137324"/>
    <w:rsid w:val="001405F3"/>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1550"/>
    <w:rsid w:val="00172116"/>
    <w:rsid w:val="00172387"/>
    <w:rsid w:val="001727F2"/>
    <w:rsid w:val="00173FB8"/>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1CE"/>
    <w:rsid w:val="001928CD"/>
    <w:rsid w:val="001931DC"/>
    <w:rsid w:val="00193344"/>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379"/>
    <w:rsid w:val="001B3923"/>
    <w:rsid w:val="001B6CB4"/>
    <w:rsid w:val="001B6DA8"/>
    <w:rsid w:val="001C03FC"/>
    <w:rsid w:val="001C431B"/>
    <w:rsid w:val="001C4340"/>
    <w:rsid w:val="001C4744"/>
    <w:rsid w:val="001C4983"/>
    <w:rsid w:val="001C51F1"/>
    <w:rsid w:val="001C5422"/>
    <w:rsid w:val="001C5785"/>
    <w:rsid w:val="001C5C1E"/>
    <w:rsid w:val="001C7E65"/>
    <w:rsid w:val="001D0CB0"/>
    <w:rsid w:val="001D1BE0"/>
    <w:rsid w:val="001D27DC"/>
    <w:rsid w:val="001D4157"/>
    <w:rsid w:val="001D4978"/>
    <w:rsid w:val="001D5F2A"/>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0AED"/>
    <w:rsid w:val="00211307"/>
    <w:rsid w:val="0021189B"/>
    <w:rsid w:val="00212403"/>
    <w:rsid w:val="00212697"/>
    <w:rsid w:val="00212DCC"/>
    <w:rsid w:val="00212FE4"/>
    <w:rsid w:val="002158C5"/>
    <w:rsid w:val="00216061"/>
    <w:rsid w:val="00216740"/>
    <w:rsid w:val="00216D19"/>
    <w:rsid w:val="00217339"/>
    <w:rsid w:val="00220A49"/>
    <w:rsid w:val="002214C5"/>
    <w:rsid w:val="0022166E"/>
    <w:rsid w:val="002218B5"/>
    <w:rsid w:val="00223BED"/>
    <w:rsid w:val="00225A8C"/>
    <w:rsid w:val="00225DE3"/>
    <w:rsid w:val="0022688A"/>
    <w:rsid w:val="00226C85"/>
    <w:rsid w:val="0022755C"/>
    <w:rsid w:val="00230A8F"/>
    <w:rsid w:val="0023164B"/>
    <w:rsid w:val="00232598"/>
    <w:rsid w:val="002339AC"/>
    <w:rsid w:val="00233D00"/>
    <w:rsid w:val="00234D9D"/>
    <w:rsid w:val="002350CD"/>
    <w:rsid w:val="00235353"/>
    <w:rsid w:val="00235AFB"/>
    <w:rsid w:val="00236F73"/>
    <w:rsid w:val="002376A3"/>
    <w:rsid w:val="002378C4"/>
    <w:rsid w:val="00237BF2"/>
    <w:rsid w:val="0024149E"/>
    <w:rsid w:val="0024288B"/>
    <w:rsid w:val="00242925"/>
    <w:rsid w:val="002431FA"/>
    <w:rsid w:val="0024668D"/>
    <w:rsid w:val="00246A5B"/>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61ED"/>
    <w:rsid w:val="002767D1"/>
    <w:rsid w:val="002772F8"/>
    <w:rsid w:val="00277704"/>
    <w:rsid w:val="0027780B"/>
    <w:rsid w:val="00277A42"/>
    <w:rsid w:val="002804E9"/>
    <w:rsid w:val="002809E4"/>
    <w:rsid w:val="00280EC0"/>
    <w:rsid w:val="00281A35"/>
    <w:rsid w:val="002828E4"/>
    <w:rsid w:val="00282C5F"/>
    <w:rsid w:val="00283F6D"/>
    <w:rsid w:val="00286876"/>
    <w:rsid w:val="00286877"/>
    <w:rsid w:val="00286B94"/>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C51"/>
    <w:rsid w:val="002B7F2F"/>
    <w:rsid w:val="002C183C"/>
    <w:rsid w:val="002C1D4B"/>
    <w:rsid w:val="002C2046"/>
    <w:rsid w:val="002C2064"/>
    <w:rsid w:val="002C3A77"/>
    <w:rsid w:val="002C4839"/>
    <w:rsid w:val="002C4C84"/>
    <w:rsid w:val="002C6C3E"/>
    <w:rsid w:val="002D0C17"/>
    <w:rsid w:val="002D1C33"/>
    <w:rsid w:val="002D21A1"/>
    <w:rsid w:val="002D47EA"/>
    <w:rsid w:val="002D4F09"/>
    <w:rsid w:val="002D53B9"/>
    <w:rsid w:val="002D5D13"/>
    <w:rsid w:val="002D7C21"/>
    <w:rsid w:val="002E1A3F"/>
    <w:rsid w:val="002E1D59"/>
    <w:rsid w:val="002E2AE9"/>
    <w:rsid w:val="002E3192"/>
    <w:rsid w:val="002E391C"/>
    <w:rsid w:val="002E535D"/>
    <w:rsid w:val="002E6845"/>
    <w:rsid w:val="002E7897"/>
    <w:rsid w:val="002F043F"/>
    <w:rsid w:val="002F0E91"/>
    <w:rsid w:val="002F2CC6"/>
    <w:rsid w:val="002F3360"/>
    <w:rsid w:val="002F4071"/>
    <w:rsid w:val="002F45CF"/>
    <w:rsid w:val="002F5912"/>
    <w:rsid w:val="002F5933"/>
    <w:rsid w:val="002F59EA"/>
    <w:rsid w:val="002F5F70"/>
    <w:rsid w:val="00300938"/>
    <w:rsid w:val="00300FD9"/>
    <w:rsid w:val="00301330"/>
    <w:rsid w:val="00301803"/>
    <w:rsid w:val="003033AC"/>
    <w:rsid w:val="003045BD"/>
    <w:rsid w:val="0030556E"/>
    <w:rsid w:val="00310DA6"/>
    <w:rsid w:val="00311F31"/>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400"/>
    <w:rsid w:val="003654CD"/>
    <w:rsid w:val="00365C86"/>
    <w:rsid w:val="00366EA8"/>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7588"/>
    <w:rsid w:val="00387C8F"/>
    <w:rsid w:val="00390D33"/>
    <w:rsid w:val="0039159F"/>
    <w:rsid w:val="00391BC9"/>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C20"/>
    <w:rsid w:val="003B086D"/>
    <w:rsid w:val="003B094A"/>
    <w:rsid w:val="003B1467"/>
    <w:rsid w:val="003B1919"/>
    <w:rsid w:val="003B24A2"/>
    <w:rsid w:val="003B2545"/>
    <w:rsid w:val="003B4810"/>
    <w:rsid w:val="003B5A2E"/>
    <w:rsid w:val="003B5C51"/>
    <w:rsid w:val="003C0A02"/>
    <w:rsid w:val="003C15AC"/>
    <w:rsid w:val="003C1B17"/>
    <w:rsid w:val="003C1DA4"/>
    <w:rsid w:val="003C23F8"/>
    <w:rsid w:val="003C26EF"/>
    <w:rsid w:val="003C279F"/>
    <w:rsid w:val="003C4073"/>
    <w:rsid w:val="003C40F3"/>
    <w:rsid w:val="003C5147"/>
    <w:rsid w:val="003C5324"/>
    <w:rsid w:val="003C5801"/>
    <w:rsid w:val="003C6F2D"/>
    <w:rsid w:val="003C727F"/>
    <w:rsid w:val="003D0503"/>
    <w:rsid w:val="003D19F1"/>
    <w:rsid w:val="003D5229"/>
    <w:rsid w:val="003D78AB"/>
    <w:rsid w:val="003E1682"/>
    <w:rsid w:val="003E1E0A"/>
    <w:rsid w:val="003E1FA0"/>
    <w:rsid w:val="003E2AA4"/>
    <w:rsid w:val="003E37EE"/>
    <w:rsid w:val="003E3E67"/>
    <w:rsid w:val="003E5CBD"/>
    <w:rsid w:val="003E66A5"/>
    <w:rsid w:val="003E7BC7"/>
    <w:rsid w:val="003F0516"/>
    <w:rsid w:val="003F48A6"/>
    <w:rsid w:val="003F4C03"/>
    <w:rsid w:val="003F5122"/>
    <w:rsid w:val="003F65C3"/>
    <w:rsid w:val="003F6F54"/>
    <w:rsid w:val="003F73CE"/>
    <w:rsid w:val="0040095F"/>
    <w:rsid w:val="004010C2"/>
    <w:rsid w:val="004015A8"/>
    <w:rsid w:val="00401C8C"/>
    <w:rsid w:val="00402816"/>
    <w:rsid w:val="00402FB6"/>
    <w:rsid w:val="00403EC7"/>
    <w:rsid w:val="00404E3B"/>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1BB"/>
    <w:rsid w:val="00436ACA"/>
    <w:rsid w:val="00436EB4"/>
    <w:rsid w:val="004405E5"/>
    <w:rsid w:val="00440D16"/>
    <w:rsid w:val="00440D3D"/>
    <w:rsid w:val="004429BF"/>
    <w:rsid w:val="00442AE0"/>
    <w:rsid w:val="00443C00"/>
    <w:rsid w:val="00444784"/>
    <w:rsid w:val="00446119"/>
    <w:rsid w:val="0044661F"/>
    <w:rsid w:val="00451632"/>
    <w:rsid w:val="0045168D"/>
    <w:rsid w:val="00453990"/>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3077"/>
    <w:rsid w:val="00484BBB"/>
    <w:rsid w:val="00485257"/>
    <w:rsid w:val="0048590B"/>
    <w:rsid w:val="00486CF9"/>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E72"/>
    <w:rsid w:val="004965C1"/>
    <w:rsid w:val="00496B7E"/>
    <w:rsid w:val="00496E5B"/>
    <w:rsid w:val="00497862"/>
    <w:rsid w:val="004A017F"/>
    <w:rsid w:val="004A0AD6"/>
    <w:rsid w:val="004A0B93"/>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033E"/>
    <w:rsid w:val="004C1112"/>
    <w:rsid w:val="004C3B67"/>
    <w:rsid w:val="004C3C46"/>
    <w:rsid w:val="004C3E27"/>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BE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1607"/>
    <w:rsid w:val="005539C2"/>
    <w:rsid w:val="00553B02"/>
    <w:rsid w:val="00554A8E"/>
    <w:rsid w:val="0055685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7CD"/>
    <w:rsid w:val="005738C3"/>
    <w:rsid w:val="00574A05"/>
    <w:rsid w:val="00574F6A"/>
    <w:rsid w:val="005769A7"/>
    <w:rsid w:val="005775E2"/>
    <w:rsid w:val="0058031F"/>
    <w:rsid w:val="00580A95"/>
    <w:rsid w:val="00581A97"/>
    <w:rsid w:val="00581C28"/>
    <w:rsid w:val="00584251"/>
    <w:rsid w:val="00584462"/>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5116"/>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30D3"/>
    <w:rsid w:val="005D3711"/>
    <w:rsid w:val="005D39F6"/>
    <w:rsid w:val="005D4428"/>
    <w:rsid w:val="005D57B1"/>
    <w:rsid w:val="005D6DB2"/>
    <w:rsid w:val="005D6E32"/>
    <w:rsid w:val="005D7E5A"/>
    <w:rsid w:val="005E1E51"/>
    <w:rsid w:val="005E2C87"/>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42BAE"/>
    <w:rsid w:val="0064459E"/>
    <w:rsid w:val="00650252"/>
    <w:rsid w:val="006504F7"/>
    <w:rsid w:val="00651220"/>
    <w:rsid w:val="00653261"/>
    <w:rsid w:val="006536A9"/>
    <w:rsid w:val="00656A73"/>
    <w:rsid w:val="006601A3"/>
    <w:rsid w:val="006604D3"/>
    <w:rsid w:val="00662B0C"/>
    <w:rsid w:val="006636F3"/>
    <w:rsid w:val="006642EF"/>
    <w:rsid w:val="00664D4C"/>
    <w:rsid w:val="00665AF3"/>
    <w:rsid w:val="00667C14"/>
    <w:rsid w:val="00670038"/>
    <w:rsid w:val="00670F31"/>
    <w:rsid w:val="00671CB3"/>
    <w:rsid w:val="006729B3"/>
    <w:rsid w:val="006742C4"/>
    <w:rsid w:val="00675F94"/>
    <w:rsid w:val="00677BFA"/>
    <w:rsid w:val="00680B35"/>
    <w:rsid w:val="00680B48"/>
    <w:rsid w:val="00680BB2"/>
    <w:rsid w:val="006820B4"/>
    <w:rsid w:val="006828F2"/>
    <w:rsid w:val="00682F59"/>
    <w:rsid w:val="0068461E"/>
    <w:rsid w:val="00686D84"/>
    <w:rsid w:val="00687048"/>
    <w:rsid w:val="00687F60"/>
    <w:rsid w:val="0069334F"/>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580"/>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2592"/>
    <w:rsid w:val="007233A7"/>
    <w:rsid w:val="00724B5F"/>
    <w:rsid w:val="00726837"/>
    <w:rsid w:val="0073033B"/>
    <w:rsid w:val="00730824"/>
    <w:rsid w:val="00730CC2"/>
    <w:rsid w:val="00733E8C"/>
    <w:rsid w:val="00733FAC"/>
    <w:rsid w:val="007343AC"/>
    <w:rsid w:val="0073462F"/>
    <w:rsid w:val="007346C1"/>
    <w:rsid w:val="0073596C"/>
    <w:rsid w:val="00735BDB"/>
    <w:rsid w:val="00736488"/>
    <w:rsid w:val="007367EC"/>
    <w:rsid w:val="0074091A"/>
    <w:rsid w:val="00740F4A"/>
    <w:rsid w:val="00742B86"/>
    <w:rsid w:val="00743F9B"/>
    <w:rsid w:val="0074456C"/>
    <w:rsid w:val="00744CDD"/>
    <w:rsid w:val="00744D85"/>
    <w:rsid w:val="00745215"/>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7F50"/>
    <w:rsid w:val="0077020B"/>
    <w:rsid w:val="00770631"/>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54D4"/>
    <w:rsid w:val="007C5668"/>
    <w:rsid w:val="007C56E9"/>
    <w:rsid w:val="007C620D"/>
    <w:rsid w:val="007C64CC"/>
    <w:rsid w:val="007D0366"/>
    <w:rsid w:val="007D050D"/>
    <w:rsid w:val="007D0C99"/>
    <w:rsid w:val="007D1BED"/>
    <w:rsid w:val="007D1D5E"/>
    <w:rsid w:val="007D2C54"/>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6BE7"/>
    <w:rsid w:val="007E753C"/>
    <w:rsid w:val="007F084A"/>
    <w:rsid w:val="007F0FC4"/>
    <w:rsid w:val="007F1108"/>
    <w:rsid w:val="007F179F"/>
    <w:rsid w:val="007F1B29"/>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3E57"/>
    <w:rsid w:val="00844677"/>
    <w:rsid w:val="00844ACA"/>
    <w:rsid w:val="008458A1"/>
    <w:rsid w:val="00846711"/>
    <w:rsid w:val="00846741"/>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5792"/>
    <w:rsid w:val="0088696A"/>
    <w:rsid w:val="00886A44"/>
    <w:rsid w:val="00890451"/>
    <w:rsid w:val="0089173A"/>
    <w:rsid w:val="00892627"/>
    <w:rsid w:val="00892EB2"/>
    <w:rsid w:val="0089317F"/>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5840"/>
    <w:rsid w:val="008E5D1F"/>
    <w:rsid w:val="008E757D"/>
    <w:rsid w:val="008E7965"/>
    <w:rsid w:val="008F12F3"/>
    <w:rsid w:val="008F23A8"/>
    <w:rsid w:val="008F3798"/>
    <w:rsid w:val="008F41D2"/>
    <w:rsid w:val="008F5026"/>
    <w:rsid w:val="008F5FF7"/>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0589"/>
    <w:rsid w:val="00941D9F"/>
    <w:rsid w:val="009452BE"/>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593D"/>
    <w:rsid w:val="00966124"/>
    <w:rsid w:val="009677B1"/>
    <w:rsid w:val="009677BC"/>
    <w:rsid w:val="0096795C"/>
    <w:rsid w:val="009708AD"/>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B85"/>
    <w:rsid w:val="0098215E"/>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BCF"/>
    <w:rsid w:val="00997A4E"/>
    <w:rsid w:val="009A1740"/>
    <w:rsid w:val="009A1A13"/>
    <w:rsid w:val="009A1E16"/>
    <w:rsid w:val="009A1EC5"/>
    <w:rsid w:val="009A2A00"/>
    <w:rsid w:val="009A3B59"/>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5D87"/>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0E2D"/>
    <w:rsid w:val="009E17E6"/>
    <w:rsid w:val="009E18CB"/>
    <w:rsid w:val="009E2B99"/>
    <w:rsid w:val="009E2FDA"/>
    <w:rsid w:val="009E5505"/>
    <w:rsid w:val="009E5F01"/>
    <w:rsid w:val="009E6107"/>
    <w:rsid w:val="009E742F"/>
    <w:rsid w:val="009E7954"/>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1943"/>
    <w:rsid w:val="00A22047"/>
    <w:rsid w:val="00A222FF"/>
    <w:rsid w:val="00A22F18"/>
    <w:rsid w:val="00A23AF0"/>
    <w:rsid w:val="00A2477F"/>
    <w:rsid w:val="00A24C96"/>
    <w:rsid w:val="00A25255"/>
    <w:rsid w:val="00A255C6"/>
    <w:rsid w:val="00A27AD9"/>
    <w:rsid w:val="00A303B6"/>
    <w:rsid w:val="00A3063D"/>
    <w:rsid w:val="00A322BD"/>
    <w:rsid w:val="00A32D8C"/>
    <w:rsid w:val="00A3418C"/>
    <w:rsid w:val="00A35110"/>
    <w:rsid w:val="00A352A1"/>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212"/>
    <w:rsid w:val="00A85A05"/>
    <w:rsid w:val="00A87065"/>
    <w:rsid w:val="00A911F7"/>
    <w:rsid w:val="00A9301F"/>
    <w:rsid w:val="00A933B9"/>
    <w:rsid w:val="00A94C92"/>
    <w:rsid w:val="00A954C5"/>
    <w:rsid w:val="00A95644"/>
    <w:rsid w:val="00A95835"/>
    <w:rsid w:val="00A972FA"/>
    <w:rsid w:val="00A97612"/>
    <w:rsid w:val="00A9793C"/>
    <w:rsid w:val="00AA3715"/>
    <w:rsid w:val="00AA45F6"/>
    <w:rsid w:val="00AA61C2"/>
    <w:rsid w:val="00AA627D"/>
    <w:rsid w:val="00AA69BE"/>
    <w:rsid w:val="00AA7C40"/>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97A"/>
    <w:rsid w:val="00AF72BE"/>
    <w:rsid w:val="00AF7EE3"/>
    <w:rsid w:val="00B00917"/>
    <w:rsid w:val="00B01E10"/>
    <w:rsid w:val="00B02125"/>
    <w:rsid w:val="00B0357D"/>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EA3"/>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43B6"/>
    <w:rsid w:val="00B75178"/>
    <w:rsid w:val="00B752EF"/>
    <w:rsid w:val="00B75927"/>
    <w:rsid w:val="00B76606"/>
    <w:rsid w:val="00B76DC1"/>
    <w:rsid w:val="00B800F9"/>
    <w:rsid w:val="00B811D5"/>
    <w:rsid w:val="00B81344"/>
    <w:rsid w:val="00B83875"/>
    <w:rsid w:val="00B8507E"/>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230E"/>
    <w:rsid w:val="00BA2B8F"/>
    <w:rsid w:val="00BA46D9"/>
    <w:rsid w:val="00BA57D8"/>
    <w:rsid w:val="00BA6274"/>
    <w:rsid w:val="00BA66B9"/>
    <w:rsid w:val="00BB0237"/>
    <w:rsid w:val="00BB219B"/>
    <w:rsid w:val="00BB261F"/>
    <w:rsid w:val="00BB36ED"/>
    <w:rsid w:val="00BB456F"/>
    <w:rsid w:val="00BB66F2"/>
    <w:rsid w:val="00BB68B5"/>
    <w:rsid w:val="00BB78D8"/>
    <w:rsid w:val="00BB7944"/>
    <w:rsid w:val="00BB7C3A"/>
    <w:rsid w:val="00BC034A"/>
    <w:rsid w:val="00BC0514"/>
    <w:rsid w:val="00BC11B5"/>
    <w:rsid w:val="00BC1541"/>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683F"/>
    <w:rsid w:val="00BD795F"/>
    <w:rsid w:val="00BD7EA7"/>
    <w:rsid w:val="00BD7F87"/>
    <w:rsid w:val="00BE0AFA"/>
    <w:rsid w:val="00BE10C6"/>
    <w:rsid w:val="00BE130B"/>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7E1"/>
    <w:rsid w:val="00C11C58"/>
    <w:rsid w:val="00C12415"/>
    <w:rsid w:val="00C12A81"/>
    <w:rsid w:val="00C12F45"/>
    <w:rsid w:val="00C1428B"/>
    <w:rsid w:val="00C175CC"/>
    <w:rsid w:val="00C17C51"/>
    <w:rsid w:val="00C201F7"/>
    <w:rsid w:val="00C20E83"/>
    <w:rsid w:val="00C222CE"/>
    <w:rsid w:val="00C23855"/>
    <w:rsid w:val="00C25AA0"/>
    <w:rsid w:val="00C25C4C"/>
    <w:rsid w:val="00C25E5F"/>
    <w:rsid w:val="00C271A7"/>
    <w:rsid w:val="00C27293"/>
    <w:rsid w:val="00C276FA"/>
    <w:rsid w:val="00C27701"/>
    <w:rsid w:val="00C3098D"/>
    <w:rsid w:val="00C30ED7"/>
    <w:rsid w:val="00C32604"/>
    <w:rsid w:val="00C3267D"/>
    <w:rsid w:val="00C32D9E"/>
    <w:rsid w:val="00C33A75"/>
    <w:rsid w:val="00C34847"/>
    <w:rsid w:val="00C34A21"/>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5AD0"/>
    <w:rsid w:val="00C65C4B"/>
    <w:rsid w:val="00C66DAD"/>
    <w:rsid w:val="00C674CD"/>
    <w:rsid w:val="00C7049D"/>
    <w:rsid w:val="00C717FA"/>
    <w:rsid w:val="00C723B0"/>
    <w:rsid w:val="00C72C2C"/>
    <w:rsid w:val="00C73144"/>
    <w:rsid w:val="00C7371D"/>
    <w:rsid w:val="00C73C5C"/>
    <w:rsid w:val="00C74AE3"/>
    <w:rsid w:val="00C80338"/>
    <w:rsid w:val="00C81C0C"/>
    <w:rsid w:val="00C82F20"/>
    <w:rsid w:val="00C83556"/>
    <w:rsid w:val="00C85B40"/>
    <w:rsid w:val="00C9020F"/>
    <w:rsid w:val="00C9039C"/>
    <w:rsid w:val="00C92CC1"/>
    <w:rsid w:val="00C92DF8"/>
    <w:rsid w:val="00C93C71"/>
    <w:rsid w:val="00C945A0"/>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2DF1"/>
    <w:rsid w:val="00CB326F"/>
    <w:rsid w:val="00CB3683"/>
    <w:rsid w:val="00CB3ABC"/>
    <w:rsid w:val="00CB5258"/>
    <w:rsid w:val="00CB75C6"/>
    <w:rsid w:val="00CB7828"/>
    <w:rsid w:val="00CB7CD7"/>
    <w:rsid w:val="00CB7EC5"/>
    <w:rsid w:val="00CC00B5"/>
    <w:rsid w:val="00CC263B"/>
    <w:rsid w:val="00CC2CB7"/>
    <w:rsid w:val="00CC3052"/>
    <w:rsid w:val="00CC3247"/>
    <w:rsid w:val="00CC38FA"/>
    <w:rsid w:val="00CC5FD2"/>
    <w:rsid w:val="00CC6517"/>
    <w:rsid w:val="00CC6AD0"/>
    <w:rsid w:val="00CC7292"/>
    <w:rsid w:val="00CC7ADF"/>
    <w:rsid w:val="00CD1996"/>
    <w:rsid w:val="00CD2447"/>
    <w:rsid w:val="00CD312A"/>
    <w:rsid w:val="00CD77FD"/>
    <w:rsid w:val="00CD7F61"/>
    <w:rsid w:val="00CE0DD6"/>
    <w:rsid w:val="00CE0E7A"/>
    <w:rsid w:val="00CE0EBF"/>
    <w:rsid w:val="00CE1EA8"/>
    <w:rsid w:val="00CE3A00"/>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462"/>
    <w:rsid w:val="00D04995"/>
    <w:rsid w:val="00D04CC5"/>
    <w:rsid w:val="00D056B2"/>
    <w:rsid w:val="00D06704"/>
    <w:rsid w:val="00D072D3"/>
    <w:rsid w:val="00D074C0"/>
    <w:rsid w:val="00D075D9"/>
    <w:rsid w:val="00D1117C"/>
    <w:rsid w:val="00D115F8"/>
    <w:rsid w:val="00D11AF4"/>
    <w:rsid w:val="00D11F10"/>
    <w:rsid w:val="00D12127"/>
    <w:rsid w:val="00D131D1"/>
    <w:rsid w:val="00D13B4E"/>
    <w:rsid w:val="00D15480"/>
    <w:rsid w:val="00D16427"/>
    <w:rsid w:val="00D1730D"/>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49EC"/>
    <w:rsid w:val="00D357C4"/>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3F1"/>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5480"/>
    <w:rsid w:val="00DD6C05"/>
    <w:rsid w:val="00DE0182"/>
    <w:rsid w:val="00DE0B7C"/>
    <w:rsid w:val="00DE107E"/>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E00A5F"/>
    <w:rsid w:val="00E010BD"/>
    <w:rsid w:val="00E01EF7"/>
    <w:rsid w:val="00E02932"/>
    <w:rsid w:val="00E03EC8"/>
    <w:rsid w:val="00E0440D"/>
    <w:rsid w:val="00E04E4C"/>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3BD3"/>
    <w:rsid w:val="00E247C3"/>
    <w:rsid w:val="00E2549C"/>
    <w:rsid w:val="00E25BF8"/>
    <w:rsid w:val="00E26031"/>
    <w:rsid w:val="00E263B6"/>
    <w:rsid w:val="00E3116F"/>
    <w:rsid w:val="00E31BB7"/>
    <w:rsid w:val="00E3272D"/>
    <w:rsid w:val="00E32E30"/>
    <w:rsid w:val="00E3420A"/>
    <w:rsid w:val="00E350A2"/>
    <w:rsid w:val="00E353E1"/>
    <w:rsid w:val="00E37E86"/>
    <w:rsid w:val="00E40768"/>
    <w:rsid w:val="00E418B6"/>
    <w:rsid w:val="00E441AA"/>
    <w:rsid w:val="00E46136"/>
    <w:rsid w:val="00E46C3D"/>
    <w:rsid w:val="00E47B41"/>
    <w:rsid w:val="00E50472"/>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F03"/>
    <w:rsid w:val="00E82C6E"/>
    <w:rsid w:val="00E83078"/>
    <w:rsid w:val="00E830A9"/>
    <w:rsid w:val="00E835B4"/>
    <w:rsid w:val="00E85AAA"/>
    <w:rsid w:val="00E86399"/>
    <w:rsid w:val="00E864D2"/>
    <w:rsid w:val="00E90075"/>
    <w:rsid w:val="00E9028F"/>
    <w:rsid w:val="00E90381"/>
    <w:rsid w:val="00E907AE"/>
    <w:rsid w:val="00E91EC4"/>
    <w:rsid w:val="00E92591"/>
    <w:rsid w:val="00E92AE2"/>
    <w:rsid w:val="00E936F2"/>
    <w:rsid w:val="00E94957"/>
    <w:rsid w:val="00E94C2B"/>
    <w:rsid w:val="00E95AF9"/>
    <w:rsid w:val="00E95D83"/>
    <w:rsid w:val="00E97818"/>
    <w:rsid w:val="00EA0012"/>
    <w:rsid w:val="00EA29BF"/>
    <w:rsid w:val="00EA33BB"/>
    <w:rsid w:val="00EA4358"/>
    <w:rsid w:val="00EA5C5F"/>
    <w:rsid w:val="00EA6C58"/>
    <w:rsid w:val="00EB0473"/>
    <w:rsid w:val="00EB0AA0"/>
    <w:rsid w:val="00EB28A8"/>
    <w:rsid w:val="00EB2B42"/>
    <w:rsid w:val="00EB3A29"/>
    <w:rsid w:val="00EB3A58"/>
    <w:rsid w:val="00EB4D4C"/>
    <w:rsid w:val="00EB7825"/>
    <w:rsid w:val="00EC2F63"/>
    <w:rsid w:val="00EC30E7"/>
    <w:rsid w:val="00EC3491"/>
    <w:rsid w:val="00EC39D7"/>
    <w:rsid w:val="00EC5C3C"/>
    <w:rsid w:val="00EC6793"/>
    <w:rsid w:val="00EC6D07"/>
    <w:rsid w:val="00EC7671"/>
    <w:rsid w:val="00ED023F"/>
    <w:rsid w:val="00ED0A11"/>
    <w:rsid w:val="00ED23CC"/>
    <w:rsid w:val="00ED2653"/>
    <w:rsid w:val="00ED2F28"/>
    <w:rsid w:val="00EE0C5F"/>
    <w:rsid w:val="00EE1CD1"/>
    <w:rsid w:val="00EE22B5"/>
    <w:rsid w:val="00EE2B45"/>
    <w:rsid w:val="00EE2CDB"/>
    <w:rsid w:val="00EE30CF"/>
    <w:rsid w:val="00EE3DE2"/>
    <w:rsid w:val="00EE4F46"/>
    <w:rsid w:val="00EE6DB0"/>
    <w:rsid w:val="00EE7063"/>
    <w:rsid w:val="00EE74FA"/>
    <w:rsid w:val="00EF1357"/>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2C"/>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D6D"/>
    <w:rsid w:val="00F330DC"/>
    <w:rsid w:val="00F33687"/>
    <w:rsid w:val="00F33D40"/>
    <w:rsid w:val="00F3465F"/>
    <w:rsid w:val="00F35487"/>
    <w:rsid w:val="00F370BA"/>
    <w:rsid w:val="00F37739"/>
    <w:rsid w:val="00F4011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5DA5"/>
    <w:rsid w:val="00F763B8"/>
    <w:rsid w:val="00F7687B"/>
    <w:rsid w:val="00F77A78"/>
    <w:rsid w:val="00F801B5"/>
    <w:rsid w:val="00F8222E"/>
    <w:rsid w:val="00F82AE9"/>
    <w:rsid w:val="00F82B88"/>
    <w:rsid w:val="00F85DA9"/>
    <w:rsid w:val="00F86040"/>
    <w:rsid w:val="00F86E05"/>
    <w:rsid w:val="00F90325"/>
    <w:rsid w:val="00F93701"/>
    <w:rsid w:val="00F95160"/>
    <w:rsid w:val="00F97BBC"/>
    <w:rsid w:val="00FA0371"/>
    <w:rsid w:val="00FA06EA"/>
    <w:rsid w:val="00FA16D9"/>
    <w:rsid w:val="00FA1935"/>
    <w:rsid w:val="00FA1A8D"/>
    <w:rsid w:val="00FA1F98"/>
    <w:rsid w:val="00FA2956"/>
    <w:rsid w:val="00FA37D3"/>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4A14"/>
    <w:rsid w:val="00FD4EC8"/>
    <w:rsid w:val="00FD524D"/>
    <w:rsid w:val="00FD53A3"/>
    <w:rsid w:val="00FD54AF"/>
    <w:rsid w:val="00FD5867"/>
    <w:rsid w:val="00FD5F64"/>
    <w:rsid w:val="00FD748C"/>
    <w:rsid w:val="00FD7B45"/>
    <w:rsid w:val="00FE0FC2"/>
    <w:rsid w:val="00FE10F0"/>
    <w:rsid w:val="00FE2B2D"/>
    <w:rsid w:val="00FE30E8"/>
    <w:rsid w:val="00FE4A12"/>
    <w:rsid w:val="00FE4C50"/>
    <w:rsid w:val="00FE5223"/>
    <w:rsid w:val="00FE6A5E"/>
    <w:rsid w:val="00FE7FD8"/>
    <w:rsid w:val="00FF039A"/>
    <w:rsid w:val="00FF0AD6"/>
    <w:rsid w:val="00FF15E7"/>
    <w:rsid w:val="00FF1B74"/>
    <w:rsid w:val="00FF253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D24954D0-7D52-4355-BF50-8B98B2F83360}"/>
</file>

<file path=customXml/itemProps3.xml><?xml version="1.0" encoding="utf-8"?>
<ds:datastoreItem xmlns:ds="http://schemas.openxmlformats.org/officeDocument/2006/customXml" ds:itemID="{3D38E000-00E3-42D1-8DF1-59EE39D6A20A}"/>
</file>

<file path=customXml/itemProps4.xml><?xml version="1.0" encoding="utf-8"?>
<ds:datastoreItem xmlns:ds="http://schemas.openxmlformats.org/officeDocument/2006/customXml" ds:itemID="{E8D687B1-07F3-4CE4-B952-A934C91525BE}"/>
</file>

<file path=docProps/app.xml><?xml version="1.0" encoding="utf-8"?>
<Properties xmlns="http://schemas.openxmlformats.org/officeDocument/2006/extended-properties" xmlns:vt="http://schemas.openxmlformats.org/officeDocument/2006/docPropsVTypes">
  <Template>Normal</Template>
  <TotalTime>2</TotalTime>
  <Pages>13</Pages>
  <Words>3148</Words>
  <Characters>17948</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2024-12-17T21:34:00Z</dcterms:created>
  <dcterms:modified xsi:type="dcterms:W3CDTF">2024-12-17T21:34:00Z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